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EE" w:rsidRDefault="00584BEE" w:rsidP="00584BEE">
      <w:pPr>
        <w:pageBreakBefore/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584BEE" w:rsidRDefault="00584BEE" w:rsidP="00584B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</w:rPr>
      </w:pPr>
    </w:p>
    <w:p w:rsidR="00584BEE" w:rsidRDefault="00584BEE" w:rsidP="00584B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</w:t>
      </w:r>
    </w:p>
    <w:p w:rsidR="00584BEE" w:rsidRDefault="00584BEE" w:rsidP="00584BE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 Ахтанизовского сельского поселения Темрюкского района</w:t>
      </w:r>
    </w:p>
    <w:p w:rsidR="00584BEE" w:rsidRDefault="00584BEE" w:rsidP="00584BEE">
      <w:pPr>
        <w:tabs>
          <w:tab w:val="left" w:pos="432"/>
          <w:tab w:val="left" w:pos="3312"/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D50C3E">
        <w:rPr>
          <w:rFonts w:ascii="Times New Roman" w:hAnsi="Times New Roman"/>
          <w:bCs/>
          <w:sz w:val="28"/>
          <w:szCs w:val="28"/>
        </w:rPr>
        <w:t xml:space="preserve">30.12.2015 </w:t>
      </w: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D50C3E">
        <w:rPr>
          <w:rFonts w:ascii="Times New Roman" w:hAnsi="Times New Roman"/>
          <w:bCs/>
          <w:sz w:val="28"/>
          <w:szCs w:val="28"/>
        </w:rPr>
        <w:t>651</w:t>
      </w:r>
    </w:p>
    <w:p w:rsidR="00584BEE" w:rsidRDefault="00584BEE" w:rsidP="00584BEE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4BEE" w:rsidRDefault="00584BEE" w:rsidP="00584BEE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4BEE" w:rsidRDefault="00584BEE" w:rsidP="00584BEE">
      <w:pPr>
        <w:tabs>
          <w:tab w:val="left" w:pos="432"/>
          <w:tab w:val="left" w:pos="3312"/>
          <w:tab w:val="left" w:pos="510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формирования, утверждения и ведения планов закупок товаров, работ, услуг для обеспечения муниципальных нужд 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Настоящий порядок формирования, утверждения и ведения планов закупок товаров, работ, услуг для обеспечения муниципальных нужд Ахтанизовского сельского поселения Темрюкского района (далее – Порядок) определяет процедуру формирования, утверждения и ведения планов закупок товаров, работ, услуг (далее – закупки) для обеспечения муниципальных нужд Ахтанизовского сельского поселения Темрюкского района в соответствии с Федеральным законом от 5 апреля 2013 года № 44-ФЗ «О контрактной системе в сфере</w:t>
      </w:r>
      <w:proofErr w:type="gramEnd"/>
      <w:r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 (далее </w:t>
      </w:r>
      <w:r>
        <w:rPr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Федеральный закон).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Порядок в течение 3 дней со дня его утверждения подлежит размещению в единой информационной системе в сфере закупок, 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proofErr w:type="spellStart"/>
      <w:r>
        <w:rPr>
          <w:rFonts w:ascii="Times New Roman" w:hAnsi="Times New Roman"/>
          <w:sz w:val="28"/>
          <w:szCs w:val="28"/>
        </w:rPr>
        <w:t>www.zakupki.gov.ru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единая информационная система).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Планы закупок утверждаются в течение 10 рабочих дней: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 муниципальным заказчиками Ахтанизовского сельского поселения Темрюкского района (далее –</w:t>
      </w:r>
      <w:r w:rsidR="009308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заказчики) –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proofErr w:type="gramEnd"/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бюджетными учреждениями Ахтанизовского сельского поселения Темрюкского района, за исключением закупок, осуществляемых в соответствии с </w:t>
      </w:r>
      <w:hyperlink r:id="rId4" w:history="1">
        <w:r>
          <w:rPr>
            <w:rStyle w:val="a4"/>
            <w:rFonts w:ascii="Times New Roman" w:hAnsi="Times New Roman"/>
            <w:sz w:val="28"/>
            <w:szCs w:val="28"/>
          </w:rPr>
          <w:t>частями 2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6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закона, – после утверждения планов финансово-хозяйственной деятельности;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 муниципальными унитарными предприятиями Ахтанизовского сельского поселения Темрюкского района, в случае, предусмотренном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частью 4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закона, – после заключения соглашений о </w:t>
      </w:r>
      <w:r>
        <w:rPr>
          <w:rFonts w:ascii="Times New Roman" w:hAnsi="Times New Roman"/>
          <w:sz w:val="28"/>
          <w:szCs w:val="28"/>
        </w:rPr>
        <w:lastRenderedPageBreak/>
        <w:t>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584BEE" w:rsidRDefault="00584BEE" w:rsidP="00584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3.4 бюджетными учреждениями Ахтанизовского сельского поселения Темрюкского района, муниципальными унитарными предприятиям Ахтанизовского сельского поселения Темрюкского района, осуществляющие закупки в рамках переданных им муниципальным органом Ахтанизовского сельского поселения Темрюкского района по заключению и исполнению от имени Ахтанизовского сельского поселения Темрюкского района муниципальных  контрактов от лица указанных органов, в случаях, предусмотренных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частью 6 статьи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закона, – со дня доведения на соответствующий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84BEE" w:rsidRDefault="00584BEE" w:rsidP="00584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Планы закупок для обеспечения муниципальных нужд Ахтанизовского сельского поселения Темрюкского района формируются лицами, указанными в пункте 3 настоящего Порядка, на очередной финансовый год и плановый период (очередной финансовый год) по форме, утвержденной постановлением Правительства Российской Федерации от 21 ноября 2013года№ 1043 «О требованиях к формированию, утверждению и ведению планов закупок товаров, работ, услуг для обеспечения нужд субъекта Российской Федерации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нужд, а также </w:t>
      </w:r>
      <w:proofErr w:type="gramStart"/>
      <w:r>
        <w:rPr>
          <w:rFonts w:ascii="Times New Roman" w:hAnsi="Times New Roman"/>
          <w:sz w:val="28"/>
          <w:szCs w:val="28"/>
        </w:rPr>
        <w:t>требованиях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к форме планов закупок товаров, работ, услуг», с учетом следующих положений:</w:t>
      </w:r>
    </w:p>
    <w:p w:rsidR="00584BEE" w:rsidRDefault="00584BEE" w:rsidP="00584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муниципальные заказчики в сроки, установленные главными распорядителями средств бюджета Ахтанизовского сельского поселения Темрюкского района (далее – главные распорядители), но не позднее сроков, установленных местной администрацией:</w:t>
      </w:r>
    </w:p>
    <w:p w:rsidR="00584BEE" w:rsidRDefault="00584BEE" w:rsidP="00584B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планы закупок исходя из целей осуществления закупок, определенных с учетом положений статьи 13 Федерального закона, и представляют их не позднее 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закона (решения) о бюджете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уточняют сформированные планы закупок, после </w:t>
      </w:r>
      <w:r>
        <w:rPr>
          <w:rFonts w:ascii="Times New Roman" w:hAnsi="Times New Roman"/>
          <w:sz w:val="28"/>
          <w:szCs w:val="28"/>
        </w:rPr>
        <w:lastRenderedPageBreak/>
        <w:t>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распорядителя;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учреждения, указанные в </w:t>
      </w:r>
      <w:hyperlink r:id="rId8" w:anchor="sub_2008" w:history="1">
        <w:r>
          <w:rPr>
            <w:rStyle w:val="a3"/>
            <w:sz w:val="28"/>
            <w:szCs w:val="28"/>
          </w:rPr>
          <w:t>подпункте «3.2» пункта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документа, в сроки, установленные органами, осуществляющими функции и полномочия их учредителя, не позднее сроков, установленных местной администрацией: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1 июля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бюджетным законодательством Российской Федерации обоснований бюджетных ассигнований;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 юридические лица, указанные в подпункте «3.3» пункта 3 настоящего Порядка: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планы закупок в сроки, установленные главными распорядителями, не позднее сроков, установленных местной администрацией, после принятия решений (согласования проектов решений) о предоставлении субсидий на осуществление капитальных вложений;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 юридические лица, указанные в подпункте «3.4» пункта 3 настоящего Порядка: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формируют планы закупок в сроки, установленные главными распорядителями, не позднее сроков, установленных местной администрацией,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планы закупок.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План закупок на очередной финансовый год и плановый период разрабатывается путем изменения параметров очередного года и первого года планового периода утвержденного плана закупок и добавления к ним параметров 2-го года планового периода.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Планы закупок формируются на срок, на который составляется муниципальный правовой акт представительного органа Ахтанизовского сельского поселения Темрюкского района о бюджете Ахтанизовского сельского поселения Темрюкского района.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планы закупок муниципальных заказчиков в соответствии с бюджетным законодательством Российской Федерации, а также в планы закупок юридических лиц, указанных в подпунктах «3.2» и «3.3»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 с учетом положений настоящего Порядка.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Лица, указанные в пункте 3 настоящего Порядка, ведут планы закупок в соответствии с положениями Федерального закона и настоящего Порядка. Основаниями для внесения изменений в утвержденные планы закупок в случае необходимости являются: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2015"/>
      <w:proofErr w:type="gramStart"/>
      <w:r>
        <w:rPr>
          <w:rFonts w:ascii="Times New Roman" w:hAnsi="Times New Roman"/>
          <w:sz w:val="28"/>
          <w:szCs w:val="28"/>
        </w:rPr>
        <w:t xml:space="preserve">8.1 приведение планов закупок в соответствие с утвержденными изменениями целей осуществления закупок, определенных с учетом положений статьи 13 Федерального закона и установленных в соответствии со статьей 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1E19C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и подведомственн</w:t>
      </w:r>
      <w:r w:rsidR="001E19C0">
        <w:rPr>
          <w:rFonts w:ascii="Times New Roman" w:hAnsi="Times New Roman"/>
          <w:sz w:val="28"/>
          <w:szCs w:val="28"/>
        </w:rPr>
        <w:t>ых ей</w:t>
      </w:r>
      <w:r>
        <w:rPr>
          <w:rFonts w:ascii="Times New Roman" w:hAnsi="Times New Roman"/>
          <w:sz w:val="28"/>
          <w:szCs w:val="28"/>
        </w:rPr>
        <w:t xml:space="preserve"> казенных учреждений;</w:t>
      </w:r>
      <w:proofErr w:type="gramEnd"/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016"/>
      <w:bookmarkEnd w:id="0"/>
      <w:r>
        <w:rPr>
          <w:rFonts w:ascii="Times New Roman" w:hAnsi="Times New Roman"/>
          <w:sz w:val="28"/>
          <w:szCs w:val="28"/>
        </w:rPr>
        <w:t xml:space="preserve">8.2 приведение планов закупок в соответствие с внесением изменений в  бюджет </w:t>
      </w:r>
      <w:r w:rsidR="001E19C0">
        <w:rPr>
          <w:rFonts w:ascii="Times New Roman" w:hAnsi="Times New Roman"/>
          <w:sz w:val="28"/>
          <w:szCs w:val="28"/>
        </w:rPr>
        <w:t xml:space="preserve">Ахтанизовского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на текущий финансовый год (текущий финансовый год и плановый период);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2017"/>
      <w:bookmarkEnd w:id="1"/>
      <w:proofErr w:type="gramStart"/>
      <w:r>
        <w:rPr>
          <w:rFonts w:ascii="Times New Roman" w:hAnsi="Times New Roman"/>
          <w:sz w:val="28"/>
          <w:szCs w:val="28"/>
        </w:rPr>
        <w:t xml:space="preserve">8.3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Краснодарского края, решений, поручений главы администрации (губернатора) Краснодарского края, решений поручений главы </w:t>
      </w:r>
      <w:r w:rsidR="00850062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1E19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  <w:proofErr w:type="gramEnd"/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2018"/>
      <w:bookmarkEnd w:id="2"/>
      <w:r>
        <w:rPr>
          <w:rFonts w:ascii="Times New Roman" w:hAnsi="Times New Roman"/>
          <w:sz w:val="28"/>
          <w:szCs w:val="28"/>
        </w:rPr>
        <w:t>8.4 реализация решения, принятого муниципальным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заказчиком или юридическим лицом по итогам обязательного общественного обсуждения </w:t>
      </w:r>
      <w:r>
        <w:rPr>
          <w:rFonts w:ascii="Times New Roman" w:hAnsi="Times New Roman"/>
          <w:sz w:val="28"/>
          <w:szCs w:val="28"/>
        </w:rPr>
        <w:lastRenderedPageBreak/>
        <w:t>закупок;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2019"/>
      <w:bookmarkEnd w:id="3"/>
      <w:r>
        <w:rPr>
          <w:rFonts w:ascii="Times New Roman" w:hAnsi="Times New Roman"/>
          <w:sz w:val="28"/>
          <w:szCs w:val="28"/>
        </w:rPr>
        <w:t>8.5 использование в соответствии с законодательством Российской Федерации экономии, полученной при осуществлении закупок;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020"/>
      <w:bookmarkEnd w:id="5"/>
      <w:r>
        <w:rPr>
          <w:rFonts w:ascii="Times New Roman" w:hAnsi="Times New Roman"/>
          <w:sz w:val="28"/>
          <w:szCs w:val="28"/>
        </w:rPr>
        <w:t>8.6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bookmarkEnd w:id="6"/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Федеральным законом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Формирование, утверждение и ведение планов закупок юридическими лицами, указанными в </w:t>
      </w:r>
      <w:hyperlink r:id="rId9" w:anchor="sub_2010" w:history="1">
        <w:r>
          <w:rPr>
            <w:rStyle w:val="a3"/>
            <w:sz w:val="28"/>
            <w:szCs w:val="28"/>
          </w:rPr>
          <w:t>подпункте «</w:t>
        </w:r>
        <w:r w:rsidR="001E19C0">
          <w:rPr>
            <w:rStyle w:val="a3"/>
            <w:sz w:val="28"/>
            <w:szCs w:val="28"/>
          </w:rPr>
          <w:t>3.4</w:t>
        </w:r>
        <w:r>
          <w:rPr>
            <w:rStyle w:val="a3"/>
            <w:sz w:val="28"/>
            <w:szCs w:val="28"/>
          </w:rPr>
          <w:t>» пункта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документа,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584BEE" w:rsidRDefault="00584BEE" w:rsidP="00584BEE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плана.</w:t>
      </w: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C0" w:rsidRDefault="001E19C0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C0" w:rsidRDefault="001E19C0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19C0" w:rsidRDefault="001E19C0" w:rsidP="001E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Ахтанизовского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1E19C0" w:rsidRDefault="001E19C0" w:rsidP="001E19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Разиевский</w:t>
      </w:r>
      <w:proofErr w:type="spellEnd"/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84BEE" w:rsidRDefault="00584BEE" w:rsidP="00584B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D2CB0" w:rsidRDefault="003D2CB0"/>
    <w:sectPr w:rsidR="003D2CB0" w:rsidSect="003D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BEE"/>
    <w:rsid w:val="000C5E00"/>
    <w:rsid w:val="001E19C0"/>
    <w:rsid w:val="003D2CB0"/>
    <w:rsid w:val="00584BEE"/>
    <w:rsid w:val="00850062"/>
    <w:rsid w:val="009308F2"/>
    <w:rsid w:val="00D5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84BEE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584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272~1\AppData\Local\Temp\7zO9A5.tmp\&#1055;&#1088;&#1080;&#1083;&#1086;&#1078;&#1077;&#1085;&#1080;&#1077;%20%20&#1082;%20&#1087;&#1086;&#1089;&#1090;&#1072;&#1085;&#1086;&#1074;&#1083;&#1077;&#1085;&#1080;&#1102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5A71D12B0B4AF06A6825203059997E27AD02A902E024941A629B1E985AE47161B43F8A13829EA6753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5A71D12B0B4AF06A6825203059997E27AD02A902E024941A629B1E985AE47161B43F8A13829EA6753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D5A71D12B0B4AF06A6825203059997E27AD02A902E024941A629B1E985AE47161B43F8A13829EA67530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D5A71D12B0B4AF06A6825203059997E27AD02A902E024941A629B1E985AE47161B43F8A138399AD7537H" TargetMode="External"/><Relationship Id="rId9" Type="http://schemas.openxmlformats.org/officeDocument/2006/relationships/hyperlink" Target="file:///C:\Users\7272~1\AppData\Local\Temp\7zO9A5.tmp\&#1055;&#1088;&#1080;&#1083;&#1086;&#1078;&#1077;&#1085;&#1080;&#1077;%20%20&#1082;%20&#1087;&#1086;&#1089;&#1090;&#1072;&#1085;&#1086;&#1074;&#1083;&#1077;&#1085;&#1080;&#110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общий</cp:lastModifiedBy>
  <cp:revision>4</cp:revision>
  <dcterms:created xsi:type="dcterms:W3CDTF">2015-12-28T08:21:00Z</dcterms:created>
  <dcterms:modified xsi:type="dcterms:W3CDTF">2015-12-30T08:03:00Z</dcterms:modified>
</cp:coreProperties>
</file>