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D50B0" w:rsidRDefault="005D50B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5D50B0" w:rsidRDefault="005D50B0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391748">
        <w:rPr>
          <w:spacing w:val="-12"/>
          <w:sz w:val="28"/>
          <w:szCs w:val="28"/>
        </w:rPr>
        <w:t xml:space="preserve">25.10.2017 </w:t>
      </w:r>
      <w:r w:rsidR="00783BA6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  № </w:t>
      </w:r>
      <w:r w:rsidR="00391748">
        <w:rPr>
          <w:spacing w:val="-12"/>
          <w:sz w:val="28"/>
          <w:szCs w:val="28"/>
        </w:rPr>
        <w:t>231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E20DC3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5D50B0" w:rsidRPr="00414F2E" w:rsidRDefault="005D50B0" w:rsidP="00414F2E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деятельности территориального общественного самоуправления,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1F6350" w:rsidRDefault="001F635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5D50B0" w:rsidRPr="001B7EA2" w:rsidRDefault="005D50B0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184D1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5D50B0">
              <w:rPr>
                <w:sz w:val="28"/>
                <w:szCs w:val="28"/>
              </w:rPr>
              <w:t xml:space="preserve"> Ахтанизовского  сельского поселения Темрюкского района</w:t>
            </w:r>
            <w:r w:rsidR="005D50B0" w:rsidRPr="00074972">
              <w:rPr>
                <w:sz w:val="28"/>
                <w:szCs w:val="28"/>
              </w:rPr>
              <w:t xml:space="preserve">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территориального общественного самоуправления на территории 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посредством ежемесячных компенсационных выплат руководителям органов ТОС </w:t>
            </w:r>
            <w:r w:rsidRPr="007E2246">
              <w:rPr>
                <w:sz w:val="28"/>
                <w:szCs w:val="28"/>
              </w:rPr>
              <w:t>на частичное возмещение</w:t>
            </w:r>
            <w:r>
              <w:rPr>
                <w:sz w:val="28"/>
                <w:szCs w:val="28"/>
              </w:rPr>
              <w:t xml:space="preserve"> своих</w:t>
            </w:r>
            <w:r w:rsidRPr="007E2246">
              <w:rPr>
                <w:sz w:val="28"/>
                <w:szCs w:val="28"/>
              </w:rPr>
              <w:t xml:space="preserve"> затрат по содержанию помещений, оплате коммунальных услуг, услуг связи, канцелярских то</w:t>
            </w:r>
            <w:r>
              <w:rPr>
                <w:sz w:val="28"/>
                <w:szCs w:val="28"/>
              </w:rPr>
              <w:t xml:space="preserve">варов,  приобретению топлива; </w:t>
            </w:r>
          </w:p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45DD1">
              <w:rPr>
                <w:sz w:val="28"/>
                <w:szCs w:val="28"/>
              </w:rPr>
              <w:t>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</w:t>
            </w:r>
            <w:r>
              <w:rPr>
                <w:sz w:val="28"/>
                <w:szCs w:val="28"/>
              </w:rPr>
              <w:t>ою ответственность осуществления</w:t>
            </w:r>
            <w:r w:rsidRPr="00445DD1">
              <w:rPr>
                <w:sz w:val="28"/>
                <w:szCs w:val="28"/>
              </w:rPr>
              <w:t xml:space="preserve"> собственных инициати</w:t>
            </w:r>
            <w:r>
              <w:rPr>
                <w:sz w:val="28"/>
                <w:szCs w:val="28"/>
              </w:rPr>
              <w:t xml:space="preserve">в по вопросам местного значения; </w:t>
            </w:r>
          </w:p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907E2">
              <w:rPr>
                <w:sz w:val="28"/>
                <w:szCs w:val="28"/>
              </w:rPr>
              <w:t xml:space="preserve">содействие формированию институтов гражданского общества на территории </w:t>
            </w:r>
            <w:r>
              <w:rPr>
                <w:sz w:val="28"/>
                <w:szCs w:val="28"/>
              </w:rPr>
              <w:t>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повышение активности участия территориального общественного самоуправления в решении социально значимых проблем населения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1262FF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формирование механизмов конструктивного сотрудничества органов местного самоуправления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1A4969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топлива;</w:t>
            </w:r>
          </w:p>
          <w:p w:rsidR="005D50B0" w:rsidRPr="001A4969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 xml:space="preserve">Проведение отчетов о своей работе на собраниях, конференциях </w:t>
            </w:r>
            <w:r w:rsidRPr="001A4969">
              <w:rPr>
                <w:sz w:val="28"/>
                <w:szCs w:val="28"/>
              </w:rPr>
              <w:lastRenderedPageBreak/>
              <w:t>представителей граждан;</w:t>
            </w:r>
          </w:p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1F635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184D1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>
              <w:rPr>
                <w:sz w:val="28"/>
                <w:szCs w:val="28"/>
              </w:rPr>
              <w:t>24,0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D50B0" w:rsidRDefault="005D50B0" w:rsidP="00414F2E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 w:rsidRPr="00414F2E">
        <w:rPr>
          <w:b/>
          <w:bCs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5D50B0" w:rsidRPr="00896527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45DD1" w:rsidRDefault="005D50B0" w:rsidP="001B7EA2">
      <w:pPr>
        <w:jc w:val="center"/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5D50B0" w:rsidRPr="00D03AB5" w:rsidRDefault="005D50B0" w:rsidP="001B7EA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5D50B0" w:rsidRPr="007E5C51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</w:t>
      </w:r>
      <w:r w:rsidRPr="007E5C51">
        <w:rPr>
          <w:sz w:val="28"/>
          <w:szCs w:val="28"/>
        </w:rPr>
        <w:lastRenderedPageBreak/>
        <w:t xml:space="preserve">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5D50B0" w:rsidRPr="00E8463E" w:rsidRDefault="005D50B0" w:rsidP="001B7EA2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>ний при администрации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5D50B0" w:rsidRDefault="005D50B0" w:rsidP="001B7EA2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Сотрудничая с Управлением социальной защиты населения и Управлением пенсионного фонда и реализуя </w:t>
      </w:r>
      <w:proofErr w:type="spellStart"/>
      <w:r w:rsidRPr="00AD0DF2">
        <w:rPr>
          <w:sz w:val="28"/>
          <w:szCs w:val="28"/>
        </w:rPr>
        <w:t>тосовский</w:t>
      </w:r>
      <w:proofErr w:type="spellEnd"/>
      <w:r w:rsidRPr="00AD0DF2">
        <w:rPr>
          <w:sz w:val="28"/>
          <w:szCs w:val="28"/>
        </w:rPr>
        <w:t xml:space="preserve"> принцип «Дойти до каждого», органы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5D50B0" w:rsidRPr="00E8463E" w:rsidRDefault="005D50B0" w:rsidP="001B7EA2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5D50B0" w:rsidRPr="002B3F8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Ахтанизовском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создано и работает 4 </w:t>
      </w:r>
      <w:proofErr w:type="spellStart"/>
      <w:r>
        <w:rPr>
          <w:sz w:val="28"/>
          <w:szCs w:val="28"/>
        </w:rPr>
        <w:t>ТОСа</w:t>
      </w:r>
      <w:proofErr w:type="spellEnd"/>
      <w:r>
        <w:rPr>
          <w:sz w:val="28"/>
          <w:szCs w:val="28"/>
        </w:rPr>
        <w:t xml:space="preserve">, во главе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>
        <w:rPr>
          <w:sz w:val="28"/>
          <w:szCs w:val="28"/>
        </w:rPr>
        <w:t>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D50B0" w:rsidRPr="00414F2E" w:rsidRDefault="005D50B0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lastRenderedPageBreak/>
        <w:t>Цели, задачи и целевые показатели, сроки и этапы реализации муниципальной программы</w:t>
      </w:r>
    </w:p>
    <w:p w:rsidR="005D50B0" w:rsidRPr="001A4969" w:rsidRDefault="005D50B0" w:rsidP="00414F2E">
      <w:pPr>
        <w:pStyle w:val="1"/>
        <w:ind w:right="-1"/>
        <w:jc w:val="center"/>
        <w:rPr>
          <w:b/>
          <w:bCs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состоят в осуществлении поддержки деятельности территориального общественного самоуправления на территории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iCs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5D50B0" w:rsidRDefault="005D50B0" w:rsidP="001B7EA2">
      <w:pPr>
        <w:pStyle w:val="ac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 w:cs="Times New Roman"/>
          <w:sz w:val="28"/>
          <w:szCs w:val="28"/>
        </w:rPr>
        <w:t>: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5D50B0" w:rsidRDefault="005D50B0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5D50B0" w:rsidRDefault="005D50B0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>местного самоуправления Ахтанизовского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5D50B0" w:rsidRPr="00C07957" w:rsidRDefault="004731E4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D50B0" w:rsidRPr="00B8732B">
        <w:rPr>
          <w:sz w:val="28"/>
          <w:szCs w:val="28"/>
        </w:rPr>
        <w:t xml:space="preserve">елевые показатели </w:t>
      </w:r>
      <w:r w:rsidR="005D50B0">
        <w:rPr>
          <w:sz w:val="28"/>
          <w:szCs w:val="28"/>
        </w:rPr>
        <w:t>муниципальной</w:t>
      </w:r>
      <w:r w:rsidR="005D50B0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5D50B0"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5D50B0" w:rsidRPr="001F6350">
        <w:rPr>
          <w:sz w:val="28"/>
          <w:szCs w:val="28"/>
        </w:rPr>
        <w:t xml:space="preserve">1 </w:t>
      </w:r>
      <w:r w:rsidR="005D50B0">
        <w:rPr>
          <w:sz w:val="28"/>
          <w:szCs w:val="28"/>
        </w:rPr>
        <w:t>к муниципальной программе.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184D1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5D50B0" w:rsidRPr="00EA325A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5D50B0" w:rsidRPr="00EA325A" w:rsidRDefault="005D50B0" w:rsidP="001B7EA2">
      <w:pPr>
        <w:jc w:val="center"/>
        <w:rPr>
          <w:sz w:val="28"/>
          <w:szCs w:val="28"/>
        </w:rPr>
      </w:pPr>
    </w:p>
    <w:p w:rsidR="005D50B0" w:rsidRPr="00EA325A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5D50B0" w:rsidRPr="00743C91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Pr="001F6350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5D50B0" w:rsidRDefault="005D50B0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lastRenderedPageBreak/>
        <w:t>4. Обоснование ресурсного обеспечения муниципальной программы</w:t>
      </w:r>
    </w:p>
    <w:p w:rsidR="005D50B0" w:rsidRDefault="005D50B0" w:rsidP="007631C3"/>
    <w:p w:rsidR="005D50B0" w:rsidRPr="007631C3" w:rsidRDefault="005D50B0" w:rsidP="001F6350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 w:rsidR="001F6350">
        <w:rPr>
          <w:sz w:val="28"/>
          <w:szCs w:val="28"/>
        </w:rPr>
        <w:t xml:space="preserve">ацию </w:t>
      </w:r>
      <w:r>
        <w:rPr>
          <w:sz w:val="28"/>
          <w:szCs w:val="28"/>
        </w:rPr>
        <w:t xml:space="preserve">программы, </w:t>
      </w:r>
      <w:r w:rsidR="001F6350" w:rsidRPr="007631C3">
        <w:rPr>
          <w:sz w:val="28"/>
          <w:szCs w:val="28"/>
        </w:rPr>
        <w:t xml:space="preserve">из средств местного бюджета </w:t>
      </w:r>
      <w:r>
        <w:rPr>
          <w:sz w:val="28"/>
          <w:szCs w:val="28"/>
        </w:rPr>
        <w:t>составляет 24,0</w:t>
      </w:r>
      <w:r w:rsidRPr="007631C3">
        <w:rPr>
          <w:sz w:val="28"/>
          <w:szCs w:val="28"/>
        </w:rPr>
        <w:t> тыс. рублей</w:t>
      </w:r>
      <w:r w:rsidR="001F6350">
        <w:rPr>
          <w:sz w:val="28"/>
          <w:szCs w:val="28"/>
        </w:rPr>
        <w:t>:</w:t>
      </w:r>
    </w:p>
    <w:p w:rsidR="005D50B0" w:rsidRPr="007631C3" w:rsidRDefault="005D50B0" w:rsidP="007631C3"/>
    <w:p w:rsidR="005D50B0" w:rsidRPr="00371E4C" w:rsidRDefault="005D50B0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5D50B0" w:rsidRPr="008D7420">
        <w:trPr>
          <w:trHeight w:val="1150"/>
        </w:trPr>
        <w:tc>
          <w:tcPr>
            <w:tcW w:w="5508" w:type="dxa"/>
          </w:tcPr>
          <w:p w:rsidR="005D50B0" w:rsidRPr="00371E4C" w:rsidRDefault="005D50B0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5D50B0" w:rsidRPr="007631C3" w:rsidRDefault="005D50B0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5D50B0" w:rsidRPr="00371E4C" w:rsidRDefault="005D50B0" w:rsidP="001F6350">
            <w:pPr>
              <w:jc w:val="center"/>
            </w:pPr>
            <w:r w:rsidRPr="007631C3">
              <w:t>тыс. рублей</w:t>
            </w:r>
            <w:r>
              <w:t xml:space="preserve"> в 201</w:t>
            </w:r>
            <w:r w:rsidR="00184D1F">
              <w:t>8</w:t>
            </w:r>
            <w:r>
              <w:t xml:space="preserve"> году</w:t>
            </w:r>
          </w:p>
        </w:tc>
      </w:tr>
      <w:tr w:rsidR="005D50B0" w:rsidRPr="008D7420">
        <w:tc>
          <w:tcPr>
            <w:tcW w:w="5508" w:type="dxa"/>
          </w:tcPr>
          <w:p w:rsidR="005D50B0" w:rsidRPr="00887BF3" w:rsidRDefault="005D50B0" w:rsidP="000B2C42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5D50B0" w:rsidRPr="00371E4C" w:rsidRDefault="005D50B0" w:rsidP="00C341A7">
            <w:pPr>
              <w:jc w:val="center"/>
            </w:pPr>
            <w:r>
              <w:t>24,0</w:t>
            </w:r>
          </w:p>
        </w:tc>
      </w:tr>
      <w:tr w:rsidR="005D50B0" w:rsidRPr="000B2C42">
        <w:tc>
          <w:tcPr>
            <w:tcW w:w="5508" w:type="dxa"/>
          </w:tcPr>
          <w:p w:rsidR="005D50B0" w:rsidRPr="000B2C42" w:rsidRDefault="005D50B0" w:rsidP="000B2C42">
            <w:pPr>
              <w:jc w:val="both"/>
              <w:rPr>
                <w:b/>
                <w:bCs/>
              </w:rPr>
            </w:pPr>
            <w:r w:rsidRPr="000B2C42">
              <w:rPr>
                <w:b/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5D50B0" w:rsidRPr="000B2C42" w:rsidRDefault="005D50B0" w:rsidP="000B2C42">
            <w:pPr>
              <w:jc w:val="both"/>
              <w:rPr>
                <w:b/>
                <w:bCs/>
              </w:rPr>
            </w:pPr>
          </w:p>
        </w:tc>
        <w:tc>
          <w:tcPr>
            <w:tcW w:w="2520" w:type="dxa"/>
          </w:tcPr>
          <w:p w:rsidR="005D50B0" w:rsidRPr="000B2C42" w:rsidRDefault="005D50B0" w:rsidP="00C341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24,0</w:t>
            </w:r>
          </w:p>
        </w:tc>
      </w:tr>
    </w:tbl>
    <w:p w:rsidR="005D50B0" w:rsidRDefault="005D50B0" w:rsidP="001211B7">
      <w:pPr>
        <w:ind w:firstLine="720"/>
        <w:jc w:val="both"/>
        <w:rPr>
          <w:sz w:val="28"/>
          <w:szCs w:val="28"/>
        </w:rPr>
      </w:pP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  <w:proofErr w:type="gramEnd"/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5D50B0" w:rsidRDefault="005D50B0" w:rsidP="00743C91">
      <w:pPr>
        <w:rPr>
          <w:b/>
          <w:bCs/>
          <w:sz w:val="28"/>
          <w:szCs w:val="28"/>
        </w:rPr>
      </w:pPr>
    </w:p>
    <w:p w:rsidR="005D50B0" w:rsidRDefault="005D50B0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5D50B0" w:rsidRDefault="005D50B0" w:rsidP="00743C91">
      <w:pPr>
        <w:ind w:left="360"/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184D1F" w:rsidP="00743C91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      </w:t>
      </w:r>
      <w:proofErr w:type="spellStart"/>
      <w:r>
        <w:rPr>
          <w:sz w:val="28"/>
          <w:szCs w:val="28"/>
        </w:rPr>
        <w:t>Н.С.Бекирова</w:t>
      </w:r>
      <w:proofErr w:type="spellEnd"/>
    </w:p>
    <w:p w:rsidR="005D50B0" w:rsidRDefault="005D50B0" w:rsidP="00743C91"/>
    <w:p w:rsidR="005D50B0" w:rsidRDefault="005D50B0" w:rsidP="007631C3">
      <w:pPr>
        <w:jc w:val="center"/>
        <w:rPr>
          <w:sz w:val="28"/>
          <w:szCs w:val="28"/>
        </w:rPr>
      </w:pPr>
    </w:p>
    <w:sectPr w:rsidR="005D50B0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755" w:rsidRDefault="00D84755">
      <w:r>
        <w:separator/>
      </w:r>
    </w:p>
  </w:endnote>
  <w:endnote w:type="continuationSeparator" w:id="0">
    <w:p w:rsidR="00D84755" w:rsidRDefault="00D84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755" w:rsidRDefault="00D84755">
      <w:r>
        <w:separator/>
      </w:r>
    </w:p>
  </w:footnote>
  <w:footnote w:type="continuationSeparator" w:id="0">
    <w:p w:rsidR="00D84755" w:rsidRDefault="00D84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0B0" w:rsidRDefault="00154A45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50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1748">
      <w:rPr>
        <w:rStyle w:val="a8"/>
        <w:noProof/>
      </w:rPr>
      <w:t>7</w:t>
    </w:r>
    <w:r>
      <w:rPr>
        <w:rStyle w:val="a8"/>
      </w:rPr>
      <w:fldChar w:fldCharType="end"/>
    </w:r>
  </w:p>
  <w:p w:rsidR="005D50B0" w:rsidRDefault="005D50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5672"/>
    <w:rsid w:val="00074972"/>
    <w:rsid w:val="0008181A"/>
    <w:rsid w:val="00082B5F"/>
    <w:rsid w:val="000A391E"/>
    <w:rsid w:val="000B1E06"/>
    <w:rsid w:val="000B2C42"/>
    <w:rsid w:val="001211B7"/>
    <w:rsid w:val="001262FF"/>
    <w:rsid w:val="0013435E"/>
    <w:rsid w:val="00153FED"/>
    <w:rsid w:val="00154A45"/>
    <w:rsid w:val="00184D1F"/>
    <w:rsid w:val="001A4969"/>
    <w:rsid w:val="001B7EA2"/>
    <w:rsid w:val="001D3049"/>
    <w:rsid w:val="001F6350"/>
    <w:rsid w:val="00210ABF"/>
    <w:rsid w:val="002246B7"/>
    <w:rsid w:val="00231598"/>
    <w:rsid w:val="00245918"/>
    <w:rsid w:val="00260D77"/>
    <w:rsid w:val="002B3F80"/>
    <w:rsid w:val="002C2F21"/>
    <w:rsid w:val="002C464D"/>
    <w:rsid w:val="002D576C"/>
    <w:rsid w:val="002F3764"/>
    <w:rsid w:val="00302F57"/>
    <w:rsid w:val="00353438"/>
    <w:rsid w:val="00371E4C"/>
    <w:rsid w:val="00391748"/>
    <w:rsid w:val="003A63BE"/>
    <w:rsid w:val="003C549E"/>
    <w:rsid w:val="003D6538"/>
    <w:rsid w:val="003F5F69"/>
    <w:rsid w:val="004034E3"/>
    <w:rsid w:val="00414F2E"/>
    <w:rsid w:val="00433654"/>
    <w:rsid w:val="00441584"/>
    <w:rsid w:val="004435E3"/>
    <w:rsid w:val="00445DD1"/>
    <w:rsid w:val="00447642"/>
    <w:rsid w:val="004524DD"/>
    <w:rsid w:val="004731E4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5D57"/>
    <w:rsid w:val="00526F87"/>
    <w:rsid w:val="005315D2"/>
    <w:rsid w:val="00535879"/>
    <w:rsid w:val="00540585"/>
    <w:rsid w:val="00565B41"/>
    <w:rsid w:val="00581A0E"/>
    <w:rsid w:val="005B1134"/>
    <w:rsid w:val="005C1213"/>
    <w:rsid w:val="005C73F4"/>
    <w:rsid w:val="005D50B0"/>
    <w:rsid w:val="005F5892"/>
    <w:rsid w:val="006014C2"/>
    <w:rsid w:val="00630A54"/>
    <w:rsid w:val="00644012"/>
    <w:rsid w:val="0066426F"/>
    <w:rsid w:val="006E55CE"/>
    <w:rsid w:val="007255F3"/>
    <w:rsid w:val="00743C91"/>
    <w:rsid w:val="007631C3"/>
    <w:rsid w:val="007708BB"/>
    <w:rsid w:val="00783BA6"/>
    <w:rsid w:val="007866EB"/>
    <w:rsid w:val="007A20BF"/>
    <w:rsid w:val="007C3AE6"/>
    <w:rsid w:val="007D7478"/>
    <w:rsid w:val="007E2246"/>
    <w:rsid w:val="007E5C51"/>
    <w:rsid w:val="007F2A24"/>
    <w:rsid w:val="0082205F"/>
    <w:rsid w:val="00832909"/>
    <w:rsid w:val="00853D0A"/>
    <w:rsid w:val="008547B3"/>
    <w:rsid w:val="00854B45"/>
    <w:rsid w:val="008771B9"/>
    <w:rsid w:val="00887BF3"/>
    <w:rsid w:val="00896527"/>
    <w:rsid w:val="008C436F"/>
    <w:rsid w:val="008D7420"/>
    <w:rsid w:val="00914505"/>
    <w:rsid w:val="00932019"/>
    <w:rsid w:val="00937B5A"/>
    <w:rsid w:val="00942E97"/>
    <w:rsid w:val="00994EA2"/>
    <w:rsid w:val="009A65F6"/>
    <w:rsid w:val="009C5AD4"/>
    <w:rsid w:val="009D216B"/>
    <w:rsid w:val="009F4379"/>
    <w:rsid w:val="00A216EC"/>
    <w:rsid w:val="00A532A4"/>
    <w:rsid w:val="00A907E2"/>
    <w:rsid w:val="00AC3459"/>
    <w:rsid w:val="00AD0DF2"/>
    <w:rsid w:val="00AD6A84"/>
    <w:rsid w:val="00B10FDD"/>
    <w:rsid w:val="00B139DC"/>
    <w:rsid w:val="00B24346"/>
    <w:rsid w:val="00B27694"/>
    <w:rsid w:val="00B27951"/>
    <w:rsid w:val="00B45194"/>
    <w:rsid w:val="00B47BF3"/>
    <w:rsid w:val="00B55799"/>
    <w:rsid w:val="00B741A9"/>
    <w:rsid w:val="00B8732B"/>
    <w:rsid w:val="00BC5644"/>
    <w:rsid w:val="00BC795D"/>
    <w:rsid w:val="00BD2886"/>
    <w:rsid w:val="00BE7352"/>
    <w:rsid w:val="00BF06F3"/>
    <w:rsid w:val="00BF2666"/>
    <w:rsid w:val="00C07957"/>
    <w:rsid w:val="00C17E19"/>
    <w:rsid w:val="00C25977"/>
    <w:rsid w:val="00C3417C"/>
    <w:rsid w:val="00C341A7"/>
    <w:rsid w:val="00C60704"/>
    <w:rsid w:val="00C6556B"/>
    <w:rsid w:val="00C95FDE"/>
    <w:rsid w:val="00C96342"/>
    <w:rsid w:val="00CF0FDA"/>
    <w:rsid w:val="00D03AB5"/>
    <w:rsid w:val="00D07AE0"/>
    <w:rsid w:val="00D10024"/>
    <w:rsid w:val="00D14A19"/>
    <w:rsid w:val="00D4308D"/>
    <w:rsid w:val="00D84755"/>
    <w:rsid w:val="00DC38BD"/>
    <w:rsid w:val="00DC7C2A"/>
    <w:rsid w:val="00DE01A2"/>
    <w:rsid w:val="00DE591E"/>
    <w:rsid w:val="00E01450"/>
    <w:rsid w:val="00E10B00"/>
    <w:rsid w:val="00E159BA"/>
    <w:rsid w:val="00E20DC3"/>
    <w:rsid w:val="00E44E7D"/>
    <w:rsid w:val="00E474E8"/>
    <w:rsid w:val="00E579F5"/>
    <w:rsid w:val="00E80EED"/>
    <w:rsid w:val="00E8463E"/>
    <w:rsid w:val="00EA325A"/>
    <w:rsid w:val="00EF2E84"/>
    <w:rsid w:val="00EF4554"/>
    <w:rsid w:val="00EF665C"/>
    <w:rsid w:val="00EF74BC"/>
    <w:rsid w:val="00EF7FE6"/>
    <w:rsid w:val="00F22E24"/>
    <w:rsid w:val="00F37B57"/>
    <w:rsid w:val="00F50F76"/>
    <w:rsid w:val="00F64AF7"/>
    <w:rsid w:val="00F708FA"/>
    <w:rsid w:val="00FA1106"/>
    <w:rsid w:val="00FA7926"/>
    <w:rsid w:val="00FC0626"/>
    <w:rsid w:val="00FD19EB"/>
    <w:rsid w:val="00FE376A"/>
    <w:rsid w:val="00FE5BC8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28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284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4284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106BBE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4C42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1934</Words>
  <Characters>11024</Characters>
  <Application>Microsoft Office Word</Application>
  <DocSecurity>0</DocSecurity>
  <Lines>91</Lines>
  <Paragraphs>25</Paragraphs>
  <ScaleCrop>false</ScaleCrop>
  <Company>Голубицкое сп</Company>
  <LinksUpToDate>false</LinksUpToDate>
  <CharactersWithSpaces>12933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19</cp:revision>
  <cp:lastPrinted>2015-11-20T08:34:00Z</cp:lastPrinted>
  <dcterms:created xsi:type="dcterms:W3CDTF">2014-11-11T08:28:00Z</dcterms:created>
  <dcterms:modified xsi:type="dcterms:W3CDTF">2017-10-26T11:15:00Z</dcterms:modified>
</cp:coreProperties>
</file>