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7393"/>
        <w:gridCol w:w="7393"/>
      </w:tblGrid>
      <w:tr w:rsidR="00CA09BC" w:rsidRPr="00F95C72">
        <w:tc>
          <w:tcPr>
            <w:tcW w:w="7393" w:type="dxa"/>
          </w:tcPr>
          <w:p w:rsidR="00CA09BC" w:rsidRPr="00F95C72" w:rsidRDefault="00CA09BC" w:rsidP="00454BE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CA09BC" w:rsidRPr="00F95C72" w:rsidRDefault="00CA09BC" w:rsidP="00454BE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A09BC" w:rsidRPr="00F95C72" w:rsidRDefault="00CA09BC" w:rsidP="00454BE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95C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CA09BC" w:rsidRDefault="00CA09BC" w:rsidP="00B14034">
            <w:pPr>
              <w:spacing w:after="0" w:line="240" w:lineRule="auto"/>
              <w:ind w:firstLine="1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BEE">
              <w:rPr>
                <w:rFonts w:ascii="Times New Roman" w:hAnsi="Times New Roman" w:cs="Times New Roman"/>
                <w:sz w:val="28"/>
                <w:szCs w:val="28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 сельского поселения Темрюкского района</w:t>
            </w:r>
            <w:r w:rsidRPr="00454BEE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 Совета</w:t>
            </w:r>
            <w:r w:rsidRPr="00454B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 сельского поселения Темрюкского района</w:t>
            </w:r>
          </w:p>
          <w:p w:rsidR="00CA09BC" w:rsidRPr="00D45A8A" w:rsidRDefault="00CA09BC" w:rsidP="00B14034">
            <w:pPr>
              <w:pStyle w:val="ConsPlusNormal"/>
              <w:widowControl/>
              <w:ind w:firstLine="1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</w:t>
            </w:r>
            <w:r w:rsidRPr="00D45A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 года №  136</w:t>
            </w:r>
          </w:p>
          <w:p w:rsidR="00CA09BC" w:rsidRPr="00454BEE" w:rsidRDefault="00CA09BC" w:rsidP="00454BEE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09BC" w:rsidRPr="00F95C72" w:rsidRDefault="00CA09BC" w:rsidP="00454BEE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CA09BC" w:rsidRPr="00F95C72" w:rsidRDefault="00CA09BC" w:rsidP="00454BE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09BC" w:rsidRPr="008227B4" w:rsidRDefault="00CA09BC" w:rsidP="00B14034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27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ОБЯЗАТЕЛЬНЫЙ ПЕРЕЧЕНЬ</w:t>
      </w:r>
      <w:r w:rsidRPr="008227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их потребительские свойства и иные характеристики, а также значения таких свойств и характеристик</w:t>
      </w:r>
      <w:r w:rsidRPr="008227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(в том числе предельные цены товаров, работ, услуг)</w:t>
      </w:r>
    </w:p>
    <w:p w:rsidR="00CA09BC" w:rsidRDefault="00CA09BC" w:rsidP="003D74DC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4"/>
        <w:gridCol w:w="850"/>
        <w:gridCol w:w="1843"/>
        <w:gridCol w:w="1703"/>
        <w:gridCol w:w="567"/>
        <w:gridCol w:w="708"/>
        <w:gridCol w:w="1983"/>
        <w:gridCol w:w="2270"/>
        <w:gridCol w:w="1276"/>
        <w:gridCol w:w="1842"/>
        <w:gridCol w:w="1276"/>
      </w:tblGrid>
      <w:tr w:rsidR="00CA09BC" w:rsidRPr="00F95C72">
        <w:trPr>
          <w:trHeight w:val="276"/>
        </w:trPr>
        <w:tc>
          <w:tcPr>
            <w:tcW w:w="424" w:type="dxa"/>
            <w:vMerge w:val="restart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850" w:type="dxa"/>
            <w:vMerge w:val="restart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Код по ОКПД</w:t>
            </w:r>
          </w:p>
        </w:tc>
        <w:tc>
          <w:tcPr>
            <w:tcW w:w="1843" w:type="dxa"/>
            <w:vMerge w:val="restart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625" w:type="dxa"/>
            <w:gridSpan w:val="8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CA09BC" w:rsidRPr="00F95C72">
        <w:trPr>
          <w:trHeight w:val="276"/>
        </w:trPr>
        <w:tc>
          <w:tcPr>
            <w:tcW w:w="424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характеристики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8647" w:type="dxa"/>
            <w:gridSpan w:val="5"/>
            <w:tcBorders>
              <w:top w:val="nil"/>
            </w:tcBorders>
          </w:tcPr>
          <w:p w:rsidR="00CA09BC" w:rsidRPr="00F95C72" w:rsidRDefault="00CA09BC" w:rsidP="00F95C72">
            <w:pPr>
              <w:spacing w:after="0" w:line="240" w:lineRule="auto"/>
              <w:jc w:val="center"/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значение характеристики</w:t>
            </w:r>
          </w:p>
        </w:tc>
      </w:tr>
      <w:tr w:rsidR="00CA09BC" w:rsidRPr="00F95C72">
        <w:tc>
          <w:tcPr>
            <w:tcW w:w="424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vMerge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253" w:type="dxa"/>
            <w:gridSpan w:val="2"/>
          </w:tcPr>
          <w:p w:rsidR="00CA09BC" w:rsidRPr="00F95C72" w:rsidRDefault="00CA09BC" w:rsidP="00B14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Ахтанизовского сельского поселения Темрюкского</w:t>
            </w: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4394" w:type="dxa"/>
            <w:gridSpan w:val="3"/>
          </w:tcPr>
          <w:p w:rsidR="00CA09BC" w:rsidRPr="00F95C72" w:rsidRDefault="00CA09BC" w:rsidP="00F95C72">
            <w:pPr>
              <w:spacing w:after="0" w:line="240" w:lineRule="auto"/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подведомственные администрации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Ахтанизовского сельского поселения Темрюкского</w:t>
            </w: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а </w:t>
            </w: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казенные и бюджетные учреждения</w:t>
            </w:r>
          </w:p>
        </w:tc>
      </w:tr>
      <w:tr w:rsidR="00CA09BC" w:rsidRPr="00F95C72">
        <w:trPr>
          <w:cantSplit/>
          <w:trHeight w:val="3121"/>
        </w:trPr>
        <w:tc>
          <w:tcPr>
            <w:tcW w:w="424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vMerge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код по ОКЕИ</w:t>
            </w:r>
          </w:p>
        </w:tc>
        <w:tc>
          <w:tcPr>
            <w:tcW w:w="708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983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высшая и главная группы должностей муниципальной службы администрации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Ахтанизовского сельского поселения Темрюкского</w:t>
            </w: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2270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ведущая, старшая и младшая группы должностей муниципальной службы администрации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Ахтанизовского сельского поселения Темрюкского</w:t>
            </w: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276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руководитель или заместитель руководителя казенного, бюджетного учреждения</w:t>
            </w:r>
          </w:p>
        </w:tc>
        <w:tc>
          <w:tcPr>
            <w:tcW w:w="1842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руководитель (заместитель руководителя) структурного подразделения казенного, бюджетного учреждения</w:t>
            </w:r>
          </w:p>
        </w:tc>
        <w:tc>
          <w:tcPr>
            <w:tcW w:w="1276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иные должности в казенном, бюджетном учреждении</w:t>
            </w:r>
          </w:p>
        </w:tc>
      </w:tr>
      <w:tr w:rsidR="00CA09BC" w:rsidRPr="00F95C72">
        <w:trPr>
          <w:cantSplit/>
          <w:trHeight w:val="265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3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983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70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2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30.02.12</w:t>
            </w:r>
          </w:p>
        </w:tc>
        <w:tc>
          <w:tcPr>
            <w:tcW w:w="1843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</w:t>
            </w: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1703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567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70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30.02.15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продукции:компьютеры персональные настольные, рабочие станции вывода 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567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70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30.02.16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 </w:t>
            </w:r>
          </w:p>
        </w:tc>
        <w:tc>
          <w:tcPr>
            <w:tcW w:w="567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70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32.20.11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Аппаратура,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интрефейсов (Wi-Fi, Bluetooth, USB.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рубль</w:t>
            </w: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не более 15 тыс.</w:t>
            </w: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не более 15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не более 10 тыс.</w:t>
            </w: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не более 5 тыс.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Merge w:val="restart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34.10.22</w:t>
            </w:r>
          </w:p>
        </w:tc>
        <w:tc>
          <w:tcPr>
            <w:tcW w:w="1843" w:type="dxa"/>
            <w:vMerge w:val="restart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Автомобили легковые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мощность двигателя, комплектация 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лошадиная си-ла</w:t>
            </w: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Merge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предельная цена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рубль</w:t>
            </w: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не более 2,5 млн.</w:t>
            </w: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не более 2 млн.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не более 1,5 млн.</w:t>
            </w: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34.10.30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мощность двигателя, комплектация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34.10.41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Средства автотранспортные грузовые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мощность двигателя, комплектация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36.11.11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материал (металл), обивочные материалы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предель-ное значение - кожа натураль-ная; возможные значения: искусственная кожа, мебель-ный (искус-ственный) мех, искусственная замша (микрофибра), ткань, нетканые мате-риалы</w:t>
            </w: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значе-ние - кожа натуральная; возмож-ные значе-ния: искус-ственная кожа, мебель-ный (искусственный) мех, искус-ственная замша (микрофибра), ткань, не-тканые материалы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36.11.12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материал (вид древесины)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обивочные материалы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ткань. возможное значение: нетканые материалы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ткань. возможное значение: нетканые материалы</w:t>
            </w: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материал (металл)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A09BC" w:rsidRPr="00F95C72">
        <w:trPr>
          <w:cantSplit/>
          <w:trHeight w:val="1134"/>
        </w:trPr>
        <w:tc>
          <w:tcPr>
            <w:tcW w:w="424" w:type="dxa"/>
            <w:vAlign w:val="center"/>
          </w:tcPr>
          <w:p w:rsidR="00CA09BC" w:rsidRPr="00F95C72" w:rsidRDefault="00CA09BC" w:rsidP="00F95C72">
            <w:pPr>
              <w:pStyle w:val="NoSpacing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95C72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extDirection w:val="btLr"/>
            <w:vAlign w:val="center"/>
          </w:tcPr>
          <w:p w:rsidR="00CA09BC" w:rsidRPr="00F95C72" w:rsidRDefault="00CA09BC" w:rsidP="00F95C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36.12.12</w:t>
            </w:r>
          </w:p>
        </w:tc>
        <w:tc>
          <w:tcPr>
            <w:tcW w:w="184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материал (вид древесины)</w:t>
            </w:r>
          </w:p>
        </w:tc>
        <w:tc>
          <w:tcPr>
            <w:tcW w:w="567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3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2270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842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276" w:type="dxa"/>
            <w:vAlign w:val="center"/>
          </w:tcPr>
          <w:p w:rsidR="00CA09BC" w:rsidRPr="00F95C72" w:rsidRDefault="00CA09BC" w:rsidP="00F95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95C72">
              <w:rPr>
                <w:rFonts w:ascii="Times New Roman" w:hAnsi="Times New Roman" w:cs="Times New Roman"/>
                <w:color w:val="000000"/>
                <w:lang w:eastAsia="ru-RU"/>
              </w:rPr>
              <w:t>возможные значения - древесина хвойных и мягколиственных пород</w:t>
            </w:r>
          </w:p>
        </w:tc>
      </w:tr>
    </w:tbl>
    <w:p w:rsidR="00CA09BC" w:rsidRDefault="00CA09BC" w:rsidP="003D74DC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9BC" w:rsidRDefault="00CA09BC" w:rsidP="003D74DC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9BC" w:rsidRDefault="00CA09BC" w:rsidP="003D74DC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9BC" w:rsidRDefault="00CA09BC" w:rsidP="003D74DC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09BC" w:rsidRDefault="00CA09BC" w:rsidP="00B14034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Начальник отдела финансов</w:t>
      </w:r>
    </w:p>
    <w:p w:rsidR="00CA09BC" w:rsidRDefault="00CA09BC" w:rsidP="00B14034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и  экономического развития                                                                                                                              А.В. Плотникова</w:t>
      </w:r>
    </w:p>
    <w:p w:rsidR="00CA09BC" w:rsidRDefault="00CA09BC" w:rsidP="0023071B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CA09BC" w:rsidSect="00322B07">
      <w:headerReference w:type="default" r:id="rId6"/>
      <w:pgSz w:w="16838" w:h="11906" w:orient="landscape"/>
      <w:pgMar w:top="567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9BC" w:rsidRDefault="00CA09BC" w:rsidP="00553AFA">
      <w:pPr>
        <w:spacing w:after="0" w:line="240" w:lineRule="auto"/>
      </w:pPr>
      <w:r>
        <w:separator/>
      </w:r>
    </w:p>
  </w:endnote>
  <w:endnote w:type="continuationSeparator" w:id="0">
    <w:p w:rsidR="00CA09BC" w:rsidRDefault="00CA09BC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9BC" w:rsidRDefault="00CA09BC" w:rsidP="00553AFA">
      <w:pPr>
        <w:spacing w:after="0" w:line="240" w:lineRule="auto"/>
      </w:pPr>
      <w:r>
        <w:separator/>
      </w:r>
    </w:p>
  </w:footnote>
  <w:footnote w:type="continuationSeparator" w:id="0">
    <w:p w:rsidR="00CA09BC" w:rsidRDefault="00CA09BC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9BC" w:rsidRDefault="00CA09BC">
    <w:pPr>
      <w:pStyle w:val="Header"/>
    </w:pPr>
    <w:r>
      <w:rPr>
        <w:noProof/>
        <w:lang w:eastAsia="ru-RU"/>
      </w:rPr>
      <w:pict>
        <v:rect id="Прямоугольник 4" o:spid="_x0000_s2049" style="position:absolute;margin-left:796.55pt;margin-top:0;width:45.35pt;height:25.95pt;z-index:251660288;visibility:visible;mso-position-horizontal-relative:page;mso-position-vertical:center;mso-position-vertical-relative:margin" o:allowincell="f" stroked="f">
          <v:textbox style="layout-flow:vertical">
            <w:txbxContent>
              <w:p w:rsidR="00CA09BC" w:rsidRPr="00553AFA" w:rsidRDefault="00CA09BC" w:rsidP="006E069C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53AFA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553AFA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 \* MERGEFORMAT</w:instrText>
                </w:r>
                <w:r w:rsidRPr="00553AFA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553AFA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4DC"/>
    <w:rsid w:val="00047D81"/>
    <w:rsid w:val="001018BC"/>
    <w:rsid w:val="00171DCC"/>
    <w:rsid w:val="001924C6"/>
    <w:rsid w:val="001D0B94"/>
    <w:rsid w:val="0023071B"/>
    <w:rsid w:val="00322B07"/>
    <w:rsid w:val="003D74DC"/>
    <w:rsid w:val="003D7818"/>
    <w:rsid w:val="003E5188"/>
    <w:rsid w:val="00423569"/>
    <w:rsid w:val="00442C9E"/>
    <w:rsid w:val="00454BEE"/>
    <w:rsid w:val="00477896"/>
    <w:rsid w:val="00501464"/>
    <w:rsid w:val="00511B4F"/>
    <w:rsid w:val="00553AFA"/>
    <w:rsid w:val="005675AE"/>
    <w:rsid w:val="00583036"/>
    <w:rsid w:val="005D0127"/>
    <w:rsid w:val="005E2463"/>
    <w:rsid w:val="0066200A"/>
    <w:rsid w:val="006669BB"/>
    <w:rsid w:val="006714A9"/>
    <w:rsid w:val="006E069C"/>
    <w:rsid w:val="006E7D48"/>
    <w:rsid w:val="007466CF"/>
    <w:rsid w:val="00755DD9"/>
    <w:rsid w:val="007D311E"/>
    <w:rsid w:val="0081479F"/>
    <w:rsid w:val="008227B4"/>
    <w:rsid w:val="00843F86"/>
    <w:rsid w:val="00856AF3"/>
    <w:rsid w:val="00901D17"/>
    <w:rsid w:val="009445AB"/>
    <w:rsid w:val="0096487F"/>
    <w:rsid w:val="009F5AFE"/>
    <w:rsid w:val="00A42C08"/>
    <w:rsid w:val="00AF43B0"/>
    <w:rsid w:val="00B14034"/>
    <w:rsid w:val="00B17EEE"/>
    <w:rsid w:val="00B32A85"/>
    <w:rsid w:val="00B72AB1"/>
    <w:rsid w:val="00B824C1"/>
    <w:rsid w:val="00C878FB"/>
    <w:rsid w:val="00CA09BC"/>
    <w:rsid w:val="00D105F6"/>
    <w:rsid w:val="00D45A8A"/>
    <w:rsid w:val="00D66591"/>
    <w:rsid w:val="00D71F40"/>
    <w:rsid w:val="00D95D76"/>
    <w:rsid w:val="00DC0412"/>
    <w:rsid w:val="00E35414"/>
    <w:rsid w:val="00E92E16"/>
    <w:rsid w:val="00F63D67"/>
    <w:rsid w:val="00F731A4"/>
    <w:rsid w:val="00F95C72"/>
    <w:rsid w:val="00F96C91"/>
    <w:rsid w:val="00FA2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D76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74D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74DC"/>
    <w:rPr>
      <w:rFonts w:ascii="Cambria" w:hAnsi="Cambria" w:cs="Cambria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3D74DC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3D74D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53AFA"/>
  </w:style>
  <w:style w:type="paragraph" w:styleId="Footer">
    <w:name w:val="footer"/>
    <w:basedOn w:val="Normal"/>
    <w:link w:val="Foot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53AFA"/>
  </w:style>
  <w:style w:type="paragraph" w:styleId="BalloonText">
    <w:name w:val="Balloon Text"/>
    <w:basedOn w:val="Normal"/>
    <w:link w:val="BalloonTextChar"/>
    <w:uiPriority w:val="99"/>
    <w:semiHidden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7896"/>
    <w:rPr>
      <w:rFonts w:ascii="Tahoma" w:hAnsi="Tahoma" w:cs="Tahoma"/>
      <w:sz w:val="16"/>
      <w:szCs w:val="16"/>
    </w:rPr>
  </w:style>
  <w:style w:type="character" w:customStyle="1" w:styleId="a">
    <w:name w:val="Цветовое выделение"/>
    <w:uiPriority w:val="99"/>
    <w:rsid w:val="00B14034"/>
    <w:rPr>
      <w:b/>
      <w:bCs/>
      <w:color w:val="26282F"/>
    </w:rPr>
  </w:style>
  <w:style w:type="paragraph" w:customStyle="1" w:styleId="ConsPlusNormal">
    <w:name w:val="ConsPlusNormal"/>
    <w:uiPriority w:val="99"/>
    <w:rsid w:val="00B140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1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8</Pages>
  <Words>1115</Words>
  <Characters>6362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sotnikova</dc:creator>
  <cp:keywords/>
  <dc:description/>
  <cp:lastModifiedBy>Админ</cp:lastModifiedBy>
  <cp:revision>31</cp:revision>
  <cp:lastPrinted>2016-03-14T13:09:00Z</cp:lastPrinted>
  <dcterms:created xsi:type="dcterms:W3CDTF">2015-12-01T12:00:00Z</dcterms:created>
  <dcterms:modified xsi:type="dcterms:W3CDTF">2016-07-10T10:13:00Z</dcterms:modified>
</cp:coreProperties>
</file>