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D" w:rsidRDefault="00D04F5D" w:rsidP="00D04F5D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F5D" w:rsidRDefault="00D04F5D" w:rsidP="00D04F5D">
      <w:pPr>
        <w:jc w:val="center"/>
        <w:rPr>
          <w:b/>
          <w:bCs/>
          <w:sz w:val="28"/>
          <w:szCs w:val="28"/>
        </w:rPr>
      </w:pPr>
    </w:p>
    <w:p w:rsidR="00D04F5D" w:rsidRDefault="00D04F5D" w:rsidP="00D04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D04F5D" w:rsidRDefault="00D04F5D" w:rsidP="00D04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D04F5D" w:rsidRDefault="00D04F5D" w:rsidP="00D04F5D">
      <w:pPr>
        <w:jc w:val="center"/>
        <w:rPr>
          <w:b/>
          <w:bCs/>
          <w:sz w:val="28"/>
          <w:szCs w:val="28"/>
        </w:rPr>
      </w:pPr>
    </w:p>
    <w:p w:rsidR="00D04F5D" w:rsidRDefault="00D04F5D" w:rsidP="00D04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04F5D" w:rsidRDefault="00D04F5D" w:rsidP="00D04F5D">
      <w:pPr>
        <w:jc w:val="center"/>
      </w:pP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09.07.2015                                                                                                 № 225</w:t>
      </w:r>
    </w:p>
    <w:p w:rsidR="00D04F5D" w:rsidRDefault="00D04F5D" w:rsidP="00D04F5D">
      <w:pPr>
        <w:jc w:val="both"/>
        <w:rPr>
          <w:sz w:val="20"/>
          <w:szCs w:val="20"/>
        </w:rPr>
      </w:pPr>
    </w:p>
    <w:p w:rsidR="00D04F5D" w:rsidRDefault="00D04F5D" w:rsidP="00D04F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D04F5D" w:rsidRDefault="00D04F5D" w:rsidP="00D04F5D">
      <w:pPr>
        <w:rPr>
          <w:sz w:val="28"/>
          <w:szCs w:val="28"/>
        </w:rPr>
      </w:pPr>
    </w:p>
    <w:p w:rsidR="00D04F5D" w:rsidRDefault="00D04F5D" w:rsidP="00D04F5D">
      <w:pPr>
        <w:rPr>
          <w:sz w:val="28"/>
          <w:szCs w:val="28"/>
        </w:rPr>
      </w:pPr>
    </w:p>
    <w:p w:rsidR="00D04F5D" w:rsidRDefault="00D04F5D" w:rsidP="00D04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Ахтанизовского сельского поселения Темрюкского района «Эффективное муниципальное управление»</w:t>
      </w:r>
      <w:r>
        <w:rPr>
          <w:b/>
          <w:bCs/>
          <w:sz w:val="28"/>
          <w:szCs w:val="28"/>
        </w:rPr>
        <w:br/>
      </w:r>
    </w:p>
    <w:p w:rsidR="00D04F5D" w:rsidRDefault="00D04F5D" w:rsidP="00D04F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4F5D" w:rsidRDefault="00D04F5D" w:rsidP="00D04F5D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hyperlink r:id="rId5" w:history="1">
        <w:r w:rsidRPr="002B14C0">
          <w:rPr>
            <w:rStyle w:val="a4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Ахтанизовского сельского поселения Темрюкского района от 9 сентября 2014 года № 234 «</w:t>
      </w:r>
      <w:r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Ахтанизовского сельского поселения Темрюкского района»,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bookmarkEnd w:id="0"/>
    <w:p w:rsidR="00D04F5D" w:rsidRDefault="00D04F5D" w:rsidP="00D04F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изменения в муниципальную программу Ахтанизовского сельского поселения Темрюкского района «Эффективное муниципальное управление», утвержденную постановлением администрации Ахтанизовского сельского поселения Темрюкского района от 7 ноября 2014 года № 319 следующие изменения:</w:t>
      </w:r>
      <w:r>
        <w:rPr>
          <w:sz w:val="28"/>
          <w:szCs w:val="28"/>
        </w:rPr>
        <w:tab/>
      </w: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паспорте программы – «Объемы бюджетных ассигнований муниципальной программы» читать в новой редакции:</w:t>
      </w:r>
    </w:p>
    <w:p w:rsidR="00D04F5D" w:rsidRDefault="00D04F5D" w:rsidP="00D04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5476,2 тыс. рублей за счет средств местного бюджета, в том числе по подпрограммам:</w:t>
      </w:r>
    </w:p>
    <w:p w:rsidR="00D04F5D" w:rsidRDefault="00D04F5D" w:rsidP="00D04F5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 муниципальных функций, связанных с муниципальным управлением»</w:t>
      </w:r>
      <w:bookmarkStart w:id="1" w:name="sub_103010"/>
      <w:r>
        <w:rPr>
          <w:rFonts w:ascii="Times New Roman" w:hAnsi="Times New Roman" w:cs="Times New Roman"/>
          <w:sz w:val="28"/>
          <w:szCs w:val="28"/>
        </w:rPr>
        <w:t xml:space="preserve"> - 3024,2 тыс. рублей;</w:t>
      </w:r>
    </w:p>
    <w:bookmarkEnd w:id="1"/>
    <w:p w:rsidR="00D04F5D" w:rsidRDefault="00D04F5D" w:rsidP="00D04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«Управление муниципальным имуществом» – 60,0 тыс. рублей;</w:t>
      </w: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>3. «Обеспечение ведения бухгалтерского учета» – 1565,5 тыс. рублей</w:t>
      </w: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>4. «Содержание здания администрации» - 826,5 тыс. рублей»;</w:t>
      </w: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раздел 4 «Обоснование ресурсного обеспечения муниципальной программы» читать в новой редакции:</w:t>
      </w: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на реализацию программы, из средств местного бюджета составляет 5476,2 тыс. рублей:</w:t>
      </w:r>
    </w:p>
    <w:p w:rsidR="00D04F5D" w:rsidRDefault="00D04F5D" w:rsidP="00D04F5D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D04F5D" w:rsidTr="00596A0E">
        <w:trPr>
          <w:trHeight w:val="1109"/>
        </w:trPr>
        <w:tc>
          <w:tcPr>
            <w:tcW w:w="4608" w:type="dxa"/>
          </w:tcPr>
          <w:p w:rsidR="00D04F5D" w:rsidRDefault="00D04F5D" w:rsidP="00596A0E">
            <w:pPr>
              <w:rPr>
                <w:b/>
                <w:bCs/>
              </w:rPr>
            </w:pPr>
            <w:r>
              <w:t xml:space="preserve">Наименование мероприятия </w:t>
            </w:r>
          </w:p>
        </w:tc>
        <w:tc>
          <w:tcPr>
            <w:tcW w:w="2160" w:type="dxa"/>
          </w:tcPr>
          <w:p w:rsidR="00D04F5D" w:rsidRDefault="00D04F5D" w:rsidP="00596A0E">
            <w:pPr>
              <w:jc w:val="center"/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3060" w:type="dxa"/>
          </w:tcPr>
          <w:p w:rsidR="00D04F5D" w:rsidRDefault="00D04F5D" w:rsidP="00596A0E">
            <w:pPr>
              <w:jc w:val="center"/>
            </w:pPr>
            <w:r>
              <w:t xml:space="preserve">Объем финансирования муниципальной программы в 2015 году, </w:t>
            </w:r>
          </w:p>
          <w:p w:rsidR="00D04F5D" w:rsidRDefault="00D04F5D" w:rsidP="00596A0E">
            <w:pPr>
              <w:jc w:val="center"/>
              <w:rPr>
                <w:b/>
                <w:bCs/>
              </w:rPr>
            </w:pPr>
            <w:r>
              <w:t>тыс. рублей</w:t>
            </w:r>
          </w:p>
        </w:tc>
      </w:tr>
      <w:tr w:rsidR="00D04F5D" w:rsidTr="00596A0E">
        <w:tc>
          <w:tcPr>
            <w:tcW w:w="4608" w:type="dxa"/>
          </w:tcPr>
          <w:p w:rsidR="00D04F5D" w:rsidRDefault="00D04F5D" w:rsidP="00596A0E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2160" w:type="dxa"/>
          </w:tcPr>
          <w:p w:rsidR="00D04F5D" w:rsidRDefault="00D04F5D" w:rsidP="00596A0E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D04F5D" w:rsidRDefault="00D04F5D" w:rsidP="00596A0E">
            <w:pPr>
              <w:jc w:val="center"/>
            </w:pPr>
            <w:r>
              <w:t>3024,2</w:t>
            </w:r>
          </w:p>
        </w:tc>
      </w:tr>
      <w:tr w:rsidR="00D04F5D" w:rsidTr="00596A0E">
        <w:tc>
          <w:tcPr>
            <w:tcW w:w="4608" w:type="dxa"/>
          </w:tcPr>
          <w:p w:rsidR="00D04F5D" w:rsidRDefault="00D04F5D" w:rsidP="00596A0E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160" w:type="dxa"/>
          </w:tcPr>
          <w:p w:rsidR="00D04F5D" w:rsidRDefault="00D04F5D" w:rsidP="00596A0E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D04F5D" w:rsidRDefault="00D04F5D" w:rsidP="00596A0E">
            <w:pPr>
              <w:jc w:val="center"/>
            </w:pPr>
            <w:r>
              <w:t>60,0</w:t>
            </w:r>
          </w:p>
        </w:tc>
      </w:tr>
      <w:tr w:rsidR="00D04F5D" w:rsidTr="00596A0E">
        <w:tc>
          <w:tcPr>
            <w:tcW w:w="4608" w:type="dxa"/>
          </w:tcPr>
          <w:p w:rsidR="00D04F5D" w:rsidRDefault="00D04F5D" w:rsidP="00596A0E">
            <w:r>
              <w:t>Обеспечение ведения бухгалтерского учета</w:t>
            </w:r>
          </w:p>
        </w:tc>
        <w:tc>
          <w:tcPr>
            <w:tcW w:w="2160" w:type="dxa"/>
          </w:tcPr>
          <w:p w:rsidR="00D04F5D" w:rsidRDefault="00D04F5D" w:rsidP="00596A0E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D04F5D" w:rsidRDefault="00D04F5D" w:rsidP="00596A0E">
            <w:pPr>
              <w:jc w:val="center"/>
            </w:pPr>
            <w:r>
              <w:t>1565,5</w:t>
            </w:r>
          </w:p>
        </w:tc>
      </w:tr>
      <w:tr w:rsidR="00D04F5D" w:rsidTr="00596A0E">
        <w:tc>
          <w:tcPr>
            <w:tcW w:w="4608" w:type="dxa"/>
          </w:tcPr>
          <w:p w:rsidR="00D04F5D" w:rsidRDefault="00D04F5D" w:rsidP="00596A0E">
            <w:r>
              <w:t>Содержание здания администрации</w:t>
            </w:r>
          </w:p>
        </w:tc>
        <w:tc>
          <w:tcPr>
            <w:tcW w:w="2160" w:type="dxa"/>
          </w:tcPr>
          <w:p w:rsidR="00D04F5D" w:rsidRDefault="00D04F5D" w:rsidP="00596A0E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D04F5D" w:rsidRDefault="00D04F5D" w:rsidP="00596A0E">
            <w:pPr>
              <w:jc w:val="center"/>
            </w:pPr>
            <w:r>
              <w:t>826,5</w:t>
            </w:r>
          </w:p>
        </w:tc>
      </w:tr>
      <w:tr w:rsidR="00D04F5D" w:rsidTr="00596A0E">
        <w:tc>
          <w:tcPr>
            <w:tcW w:w="4608" w:type="dxa"/>
          </w:tcPr>
          <w:p w:rsidR="00D04F5D" w:rsidRDefault="00D04F5D" w:rsidP="00596A0E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60" w:type="dxa"/>
          </w:tcPr>
          <w:p w:rsidR="00D04F5D" w:rsidRDefault="00D04F5D" w:rsidP="00596A0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D04F5D" w:rsidRDefault="00D04F5D" w:rsidP="0059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5476,2</w:t>
            </w:r>
          </w:p>
        </w:tc>
      </w:tr>
    </w:tbl>
    <w:p w:rsidR="00D04F5D" w:rsidRDefault="00D04F5D" w:rsidP="00D04F5D">
      <w:pPr>
        <w:jc w:val="both"/>
        <w:rPr>
          <w:sz w:val="28"/>
          <w:szCs w:val="28"/>
        </w:rPr>
      </w:pPr>
    </w:p>
    <w:p w:rsidR="00D04F5D" w:rsidRDefault="00D04F5D" w:rsidP="00D04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№2 к муниципальной программе Ахтанизовского сельского поселения Темрюкского района «Эффективное муниципальное управление» читать в новой редакции (приложение №1);</w:t>
      </w:r>
    </w:p>
    <w:p w:rsidR="00D04F5D" w:rsidRDefault="00D04F5D" w:rsidP="00D04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№3 к муниципальной программе Ахтанизовского сельского поселения Темрюкского района «Эффективное муниципальное управление»:</w:t>
      </w:r>
    </w:p>
    <w:p w:rsidR="00D04F5D" w:rsidRDefault="00D04F5D" w:rsidP="00D04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«Реализация муниципальных функций, связанных с муниципальным управлением» - «Объемы бюджетных ассигнований подпрограммы» читать в новой редакции:</w:t>
      </w: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3024,2 тыс. рублей»;</w:t>
      </w: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3024,2 тыс. рублей:</w:t>
      </w:r>
    </w:p>
    <w:p w:rsidR="00D04F5D" w:rsidRDefault="00D04F5D" w:rsidP="00D04F5D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D04F5D" w:rsidTr="00596A0E">
        <w:tc>
          <w:tcPr>
            <w:tcW w:w="4248" w:type="dxa"/>
            <w:vMerge w:val="restart"/>
          </w:tcPr>
          <w:p w:rsidR="00D04F5D" w:rsidRDefault="00D04F5D" w:rsidP="00596A0E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D04F5D" w:rsidRDefault="00D04F5D" w:rsidP="00596A0E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D04F5D" w:rsidRDefault="00D04F5D" w:rsidP="00596A0E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D04F5D" w:rsidTr="00596A0E">
        <w:tc>
          <w:tcPr>
            <w:tcW w:w="4248" w:type="dxa"/>
            <w:vMerge/>
            <w:vAlign w:val="center"/>
          </w:tcPr>
          <w:p w:rsidR="00D04F5D" w:rsidRDefault="00D04F5D" w:rsidP="00596A0E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D04F5D" w:rsidRDefault="00D04F5D" w:rsidP="00596A0E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D04F5D" w:rsidRDefault="00D04F5D" w:rsidP="00596A0E">
            <w:pPr>
              <w:jc w:val="center"/>
            </w:pPr>
            <w:r>
              <w:t>2015 год</w:t>
            </w:r>
          </w:p>
        </w:tc>
      </w:tr>
      <w:tr w:rsidR="00D04F5D" w:rsidTr="00596A0E">
        <w:tc>
          <w:tcPr>
            <w:tcW w:w="4248" w:type="dxa"/>
          </w:tcPr>
          <w:p w:rsidR="00D04F5D" w:rsidRDefault="00D04F5D" w:rsidP="00596A0E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 администрации</w:t>
            </w:r>
          </w:p>
        </w:tc>
        <w:tc>
          <w:tcPr>
            <w:tcW w:w="1399" w:type="dxa"/>
          </w:tcPr>
          <w:p w:rsidR="00D04F5D" w:rsidRDefault="00D04F5D" w:rsidP="00596A0E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D04F5D" w:rsidRDefault="00D04F5D" w:rsidP="00596A0E">
            <w:pPr>
              <w:jc w:val="center"/>
            </w:pPr>
            <w:r>
              <w:t>3024,2</w:t>
            </w:r>
          </w:p>
        </w:tc>
      </w:tr>
    </w:tbl>
    <w:p w:rsidR="00D04F5D" w:rsidRDefault="00D04F5D" w:rsidP="00D04F5D">
      <w:pPr>
        <w:jc w:val="both"/>
        <w:rPr>
          <w:sz w:val="28"/>
          <w:szCs w:val="28"/>
        </w:rPr>
      </w:pPr>
    </w:p>
    <w:p w:rsidR="00D04F5D" w:rsidRDefault="00D04F5D" w:rsidP="00D04F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приложение №2 к подпрограмме «Реализация муниципальных функций, связанных с муниципальным управлением»  читать в новой редакции (приложение №2);</w:t>
      </w:r>
    </w:p>
    <w:p w:rsidR="00D04F5D" w:rsidRDefault="00D04F5D" w:rsidP="00D04F5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"/>
      <w:r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D04F5D" w:rsidRDefault="00D04F5D" w:rsidP="00D04F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End w:id="2"/>
      <w:r>
        <w:rPr>
          <w:sz w:val="28"/>
          <w:szCs w:val="28"/>
        </w:rPr>
        <w:t xml:space="preserve">Постановление вступает в силу со дня его </w:t>
      </w:r>
      <w:hyperlink r:id="rId6" w:history="1">
        <w:r w:rsidRPr="0073118C">
          <w:rPr>
            <w:rStyle w:val="a4"/>
            <w:color w:val="000000"/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 xml:space="preserve"> и распространяет свои действия на правоотношения, возникшие с 1 января 2015 года.</w:t>
      </w:r>
    </w:p>
    <w:p w:rsidR="00D04F5D" w:rsidRDefault="00D04F5D" w:rsidP="00D04F5D">
      <w:pPr>
        <w:tabs>
          <w:tab w:val="left" w:pos="1200"/>
        </w:tabs>
        <w:jc w:val="both"/>
        <w:rPr>
          <w:sz w:val="28"/>
          <w:szCs w:val="28"/>
        </w:rPr>
      </w:pPr>
    </w:p>
    <w:p w:rsidR="00D04F5D" w:rsidRDefault="00D04F5D" w:rsidP="00D04F5D">
      <w:pPr>
        <w:tabs>
          <w:tab w:val="left" w:pos="1200"/>
        </w:tabs>
        <w:jc w:val="both"/>
        <w:rPr>
          <w:sz w:val="28"/>
          <w:szCs w:val="28"/>
        </w:rPr>
      </w:pPr>
    </w:p>
    <w:p w:rsidR="00D04F5D" w:rsidRDefault="00D04F5D" w:rsidP="00D04F5D">
      <w:pPr>
        <w:tabs>
          <w:tab w:val="left" w:pos="1200"/>
        </w:tabs>
        <w:jc w:val="both"/>
        <w:rPr>
          <w:sz w:val="28"/>
          <w:szCs w:val="28"/>
        </w:rPr>
      </w:pPr>
    </w:p>
    <w:p w:rsidR="00D04F5D" w:rsidRDefault="00D04F5D" w:rsidP="00D04F5D">
      <w:pPr>
        <w:tabs>
          <w:tab w:val="left" w:pos="12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04F5D" w:rsidRDefault="00D04F5D" w:rsidP="00D04F5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А.В.Плотникова</w:t>
      </w:r>
    </w:p>
    <w:p w:rsidR="00993905" w:rsidRDefault="00993905"/>
    <w:sectPr w:rsidR="00993905" w:rsidSect="002B14C0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9" w:rsidRDefault="00D04F5D" w:rsidP="00B43BA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971E9" w:rsidRDefault="00D04F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5D"/>
    <w:rsid w:val="00993905"/>
    <w:rsid w:val="00D0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4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04F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uiPriority w:val="99"/>
    <w:rsid w:val="00D04F5D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character" w:customStyle="1" w:styleId="a4">
    <w:name w:val="Гипертекстовая ссылка"/>
    <w:uiPriority w:val="99"/>
    <w:rsid w:val="00D04F5D"/>
    <w:rPr>
      <w:color w:val="auto"/>
    </w:rPr>
  </w:style>
  <w:style w:type="paragraph" w:styleId="a5">
    <w:name w:val="header"/>
    <w:basedOn w:val="a"/>
    <w:link w:val="a6"/>
    <w:uiPriority w:val="99"/>
    <w:rsid w:val="00D04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04F5D"/>
  </w:style>
  <w:style w:type="paragraph" w:styleId="a8">
    <w:name w:val="Balloon Text"/>
    <w:basedOn w:val="a"/>
    <w:link w:val="a9"/>
    <w:uiPriority w:val="99"/>
    <w:semiHidden/>
    <w:unhideWhenUsed/>
    <w:rsid w:val="00D04F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/" TargetMode="External"/><Relationship Id="rId5" Type="http://schemas.openxmlformats.org/officeDocument/2006/relationships/hyperlink" Target="garantf1://36842175.0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2015-09-01T07:38:00Z</dcterms:created>
  <dcterms:modified xsi:type="dcterms:W3CDTF">2015-09-01T07:39:00Z</dcterms:modified>
</cp:coreProperties>
</file>