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ПРИЛОЖЕНИЕ </w:t>
      </w:r>
    </w:p>
    <w:p w:rsidR="00042157" w:rsidRDefault="00042157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</w:t>
      </w:r>
      <w:r w:rsidR="00042157">
        <w:rPr>
          <w:spacing w:val="-12"/>
          <w:sz w:val="28"/>
          <w:szCs w:val="28"/>
        </w:rPr>
        <w:t>УТВЕРЖДЕНА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>постановлением администрации</w:t>
      </w:r>
    </w:p>
    <w:p w:rsidR="00042157" w:rsidRDefault="00042157" w:rsidP="00E10B00">
      <w:pPr>
        <w:shd w:val="clear" w:color="auto" w:fill="FFFFFF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                   </w:t>
      </w:r>
      <w:r w:rsidR="000B64A1">
        <w:rPr>
          <w:spacing w:val="-12"/>
          <w:sz w:val="28"/>
          <w:szCs w:val="28"/>
        </w:rPr>
        <w:t xml:space="preserve">                                                                                   </w:t>
      </w:r>
      <w:proofErr w:type="spellStart"/>
      <w:r>
        <w:rPr>
          <w:spacing w:val="-12"/>
          <w:sz w:val="28"/>
          <w:szCs w:val="28"/>
        </w:rPr>
        <w:t>Ахтанизовского</w:t>
      </w:r>
      <w:proofErr w:type="spellEnd"/>
      <w:r>
        <w:rPr>
          <w:spacing w:val="-12"/>
          <w:sz w:val="28"/>
          <w:szCs w:val="28"/>
        </w:rPr>
        <w:t xml:space="preserve"> сельского поселения</w:t>
      </w:r>
    </w:p>
    <w:p w:rsidR="00042157" w:rsidRDefault="000B64A1" w:rsidP="00644012">
      <w:pPr>
        <w:shd w:val="clear" w:color="auto" w:fill="FFFFFF"/>
        <w:ind w:left="5760"/>
        <w:jc w:val="center"/>
        <w:rPr>
          <w:spacing w:val="-12"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  </w:t>
      </w:r>
      <w:r w:rsidR="00042157">
        <w:rPr>
          <w:spacing w:val="-12"/>
          <w:sz w:val="28"/>
          <w:szCs w:val="28"/>
        </w:rPr>
        <w:t>Темрюкского района</w:t>
      </w:r>
    </w:p>
    <w:p w:rsidR="00042157" w:rsidRDefault="000B64A1" w:rsidP="00644012">
      <w:pPr>
        <w:shd w:val="clear" w:color="auto" w:fill="FFFFFF"/>
        <w:ind w:left="5760"/>
        <w:jc w:val="center"/>
        <w:rPr>
          <w:b/>
          <w:bCs/>
          <w:sz w:val="28"/>
          <w:szCs w:val="28"/>
        </w:rPr>
      </w:pPr>
      <w:r>
        <w:rPr>
          <w:spacing w:val="-12"/>
          <w:sz w:val="28"/>
          <w:szCs w:val="28"/>
        </w:rPr>
        <w:t xml:space="preserve">                                                                           </w:t>
      </w:r>
      <w:r w:rsidR="00042157">
        <w:rPr>
          <w:spacing w:val="-12"/>
          <w:sz w:val="28"/>
          <w:szCs w:val="28"/>
        </w:rPr>
        <w:t xml:space="preserve">от </w:t>
      </w:r>
      <w:r w:rsidR="00494506">
        <w:rPr>
          <w:spacing w:val="-12"/>
          <w:sz w:val="28"/>
          <w:szCs w:val="28"/>
        </w:rPr>
        <w:t xml:space="preserve">31.10.2025 </w:t>
      </w:r>
      <w:r w:rsidR="00042157">
        <w:rPr>
          <w:spacing w:val="-12"/>
          <w:sz w:val="28"/>
          <w:szCs w:val="28"/>
        </w:rPr>
        <w:t>№</w:t>
      </w:r>
      <w:r w:rsidR="000B43FE">
        <w:rPr>
          <w:spacing w:val="-12"/>
          <w:sz w:val="28"/>
          <w:szCs w:val="28"/>
        </w:rPr>
        <w:t xml:space="preserve"> </w:t>
      </w:r>
      <w:r w:rsidR="00494506">
        <w:rPr>
          <w:spacing w:val="-12"/>
          <w:sz w:val="28"/>
          <w:szCs w:val="28"/>
        </w:rPr>
        <w:t>217</w:t>
      </w:r>
    </w:p>
    <w:p w:rsidR="00042157" w:rsidRDefault="00042157" w:rsidP="00E20DC3">
      <w:pPr>
        <w:jc w:val="center"/>
        <w:rPr>
          <w:b/>
          <w:bCs/>
          <w:sz w:val="28"/>
          <w:szCs w:val="28"/>
        </w:rPr>
      </w:pPr>
    </w:p>
    <w:p w:rsidR="000B64A1" w:rsidRPr="00414F2E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>Муниципальная программа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414F2E">
        <w:rPr>
          <w:b/>
          <w:bCs/>
          <w:sz w:val="28"/>
          <w:szCs w:val="28"/>
        </w:rPr>
        <w:t xml:space="preserve"> </w:t>
      </w:r>
      <w:r w:rsidRPr="007708BB">
        <w:rPr>
          <w:b/>
          <w:bCs/>
          <w:sz w:val="28"/>
          <w:szCs w:val="28"/>
        </w:rPr>
        <w:t>«</w:t>
      </w:r>
      <w:r w:rsidR="00263054">
        <w:rPr>
          <w:b/>
          <w:sz w:val="28"/>
          <w:szCs w:val="28"/>
        </w:rPr>
        <w:t xml:space="preserve">Сохранение </w:t>
      </w:r>
      <w:r w:rsidR="00263054" w:rsidRPr="00952FF6">
        <w:rPr>
          <w:b/>
          <w:sz w:val="28"/>
          <w:szCs w:val="28"/>
        </w:rPr>
        <w:t>и охрана объектов культурного наследия (памятников истории и культуры) местного значения</w:t>
      </w:r>
      <w:r w:rsidR="00263054">
        <w:rPr>
          <w:b/>
          <w:sz w:val="28"/>
          <w:szCs w:val="28"/>
        </w:rPr>
        <w:t xml:space="preserve"> </w:t>
      </w:r>
      <w:proofErr w:type="spellStart"/>
      <w:r w:rsidR="00263054">
        <w:rPr>
          <w:b/>
          <w:sz w:val="28"/>
          <w:szCs w:val="28"/>
        </w:rPr>
        <w:t>Ахтанизовского</w:t>
      </w:r>
      <w:proofErr w:type="spellEnd"/>
      <w:r w:rsidR="00263054">
        <w:rPr>
          <w:b/>
          <w:sz w:val="28"/>
          <w:szCs w:val="28"/>
        </w:rPr>
        <w:t xml:space="preserve"> сельского поселения</w:t>
      </w:r>
      <w:r w:rsidR="00263054" w:rsidRPr="007708BB">
        <w:rPr>
          <w:b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Pr="00937B5A" w:rsidRDefault="000B64A1" w:rsidP="000B64A1">
      <w:pPr>
        <w:jc w:val="center"/>
        <w:rPr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937B5A"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>.</w:t>
      </w:r>
      <w:r w:rsidRPr="001B7EA2">
        <w:rPr>
          <w:b/>
          <w:bCs/>
          <w:sz w:val="28"/>
          <w:szCs w:val="28"/>
        </w:rPr>
        <w:t xml:space="preserve"> </w:t>
      </w:r>
      <w:r w:rsidRPr="00937B5A">
        <w:rPr>
          <w:b/>
          <w:bCs/>
          <w:sz w:val="28"/>
          <w:szCs w:val="28"/>
        </w:rPr>
        <w:t xml:space="preserve">ПАСПОРТ </w:t>
      </w:r>
    </w:p>
    <w:p w:rsidR="000B64A1" w:rsidRPr="001B7EA2" w:rsidRDefault="00263054" w:rsidP="000B64A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0B64A1">
        <w:rPr>
          <w:b/>
          <w:bCs/>
          <w:sz w:val="28"/>
          <w:szCs w:val="28"/>
        </w:rPr>
        <w:t>униципальной программы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  <w:r w:rsidRPr="007708BB">
        <w:rPr>
          <w:b/>
          <w:bCs/>
          <w:sz w:val="28"/>
          <w:szCs w:val="28"/>
        </w:rPr>
        <w:t>«</w:t>
      </w:r>
      <w:r w:rsidR="00263054">
        <w:rPr>
          <w:b/>
          <w:sz w:val="28"/>
          <w:szCs w:val="28"/>
        </w:rPr>
        <w:t xml:space="preserve">Сохранение </w:t>
      </w:r>
      <w:r w:rsidR="00263054" w:rsidRPr="00952FF6">
        <w:rPr>
          <w:b/>
          <w:sz w:val="28"/>
          <w:szCs w:val="28"/>
        </w:rPr>
        <w:t>и охрана объектов культурного наследия (памятников истории и культуры) местного значения</w:t>
      </w:r>
      <w:r w:rsidR="00263054">
        <w:rPr>
          <w:b/>
          <w:sz w:val="28"/>
          <w:szCs w:val="28"/>
        </w:rPr>
        <w:t xml:space="preserve"> </w:t>
      </w:r>
      <w:proofErr w:type="spellStart"/>
      <w:r w:rsidR="00263054">
        <w:rPr>
          <w:b/>
          <w:sz w:val="28"/>
          <w:szCs w:val="28"/>
        </w:rPr>
        <w:t>Ахтанизовского</w:t>
      </w:r>
      <w:proofErr w:type="spellEnd"/>
      <w:r w:rsidR="00263054">
        <w:rPr>
          <w:b/>
          <w:sz w:val="28"/>
          <w:szCs w:val="28"/>
        </w:rPr>
        <w:t xml:space="preserve"> сельского поселения</w:t>
      </w:r>
      <w:r w:rsidR="00263054" w:rsidRPr="007708BB">
        <w:rPr>
          <w:b/>
          <w:sz w:val="28"/>
          <w:szCs w:val="28"/>
        </w:rPr>
        <w:t xml:space="preserve"> Темрюкского района</w:t>
      </w:r>
      <w:r>
        <w:rPr>
          <w:b/>
          <w:bCs/>
          <w:sz w:val="28"/>
          <w:szCs w:val="28"/>
        </w:rPr>
        <w:t xml:space="preserve">» </w:t>
      </w: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64"/>
        <w:gridCol w:w="1546"/>
        <w:gridCol w:w="1808"/>
        <w:gridCol w:w="1170"/>
        <w:gridCol w:w="1546"/>
        <w:gridCol w:w="2144"/>
      </w:tblGrid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263054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жилищно-коммунального хозяйства, торговли, курортной деятельности и имущественных отношений администрации </w:t>
            </w:r>
            <w:proofErr w:type="spellStart"/>
            <w:r>
              <w:rPr>
                <w:sz w:val="28"/>
                <w:szCs w:val="28"/>
              </w:rPr>
              <w:t>Ахтанизовского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Администрация </w:t>
            </w:r>
            <w:proofErr w:type="spellStart"/>
            <w:r w:rsidRPr="00ED2A8B">
              <w:rPr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ind w:right="282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263054" w:rsidP="00337F43">
            <w:pPr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4D754D">
              <w:rPr>
                <w:sz w:val="28"/>
                <w:szCs w:val="28"/>
              </w:rPr>
              <w:t>охранение</w:t>
            </w:r>
            <w:r>
              <w:rPr>
                <w:sz w:val="28"/>
                <w:szCs w:val="28"/>
              </w:rPr>
              <w:t xml:space="preserve"> и </w:t>
            </w:r>
            <w:r w:rsidRPr="004D754D">
              <w:rPr>
                <w:sz w:val="28"/>
                <w:szCs w:val="28"/>
              </w:rPr>
              <w:t xml:space="preserve"> государственная охрана объектов культурного наследия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263054" w:rsidP="00337F43">
            <w:pPr>
              <w:tabs>
                <w:tab w:val="left" w:pos="3960"/>
              </w:tabs>
              <w:ind w:right="6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текущего ремонта для предотвращ</w:t>
            </w:r>
            <w:r w:rsidRPr="004D754D">
              <w:rPr>
                <w:sz w:val="28"/>
                <w:szCs w:val="28"/>
              </w:rPr>
              <w:t xml:space="preserve">ения </w:t>
            </w:r>
            <w:r w:rsidRPr="004D754D">
              <w:rPr>
                <w:sz w:val="28"/>
                <w:szCs w:val="28"/>
              </w:rPr>
              <w:lastRenderedPageBreak/>
              <w:t xml:space="preserve">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</w:t>
            </w:r>
            <w:r>
              <w:rPr>
                <w:sz w:val="28"/>
                <w:szCs w:val="28"/>
              </w:rPr>
              <w:t>которые могут</w:t>
            </w:r>
            <w:r w:rsidRPr="004D754D">
              <w:rPr>
                <w:sz w:val="28"/>
                <w:szCs w:val="28"/>
              </w:rPr>
              <w:t xml:space="preserve"> причинить вред объектам культурного наследия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lastRenderedPageBreak/>
              <w:t>Увязка со стратегическими целями Стратегии социально-экономического развития Темрюкского района Краснодарского края до 2030 года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263054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4800B5">
              <w:rPr>
                <w:sz w:val="28"/>
                <w:szCs w:val="28"/>
              </w:rPr>
              <w:t>количество отремонтированных памятников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Проекты и (или)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Не предусмотрено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214" w:type="dxa"/>
            <w:gridSpan w:val="5"/>
          </w:tcPr>
          <w:p w:rsidR="000B64A1" w:rsidRPr="00ED2A8B" w:rsidRDefault="000B64A1" w:rsidP="004C01F6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202</w:t>
            </w:r>
            <w:r w:rsidR="004C01F6">
              <w:rPr>
                <w:sz w:val="28"/>
                <w:szCs w:val="28"/>
              </w:rPr>
              <w:t>6</w:t>
            </w:r>
            <w:r w:rsidRPr="00ED2A8B">
              <w:rPr>
                <w:sz w:val="28"/>
                <w:szCs w:val="28"/>
              </w:rPr>
              <w:t xml:space="preserve"> год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546" w:type="dxa"/>
            <w:vMerge w:val="restart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всего</w:t>
            </w:r>
          </w:p>
        </w:tc>
        <w:tc>
          <w:tcPr>
            <w:tcW w:w="6668" w:type="dxa"/>
            <w:gridSpan w:val="4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 разрезе источников финансирования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Годы реализации</w:t>
            </w:r>
          </w:p>
        </w:tc>
        <w:tc>
          <w:tcPr>
            <w:tcW w:w="1546" w:type="dxa"/>
            <w:vMerge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8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8"/>
                <w:szCs w:val="28"/>
              </w:rPr>
            </w:pPr>
            <w:r w:rsidRPr="00ED2A8B">
              <w:rPr>
                <w:sz w:val="28"/>
                <w:szCs w:val="28"/>
              </w:rPr>
              <w:t>внебюджетные источники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4C01F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0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0964F7" w:rsidRDefault="00B409E6" w:rsidP="00B409E6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3770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B409E6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0964F7" w:rsidRDefault="00B409E6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3770</w:t>
            </w:r>
            <w:r w:rsidR="000B64A1" w:rsidRPr="000964F7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B409E6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3570</w:t>
            </w:r>
            <w:r w:rsidR="000B64A1" w:rsidRPr="00ED2A8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ED2A8B">
              <w:rPr>
                <w:sz w:val="28"/>
                <w:szCs w:val="28"/>
              </w:rPr>
              <w:t>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реализацией проектов или программ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4C01F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0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14678" w:type="dxa"/>
            <w:gridSpan w:val="6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собственности </w:t>
            </w:r>
            <w:proofErr w:type="spellStart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Ахтанизовского</w:t>
            </w:r>
            <w:proofErr w:type="spellEnd"/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Темрюкского района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4C01F6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4C01F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 xml:space="preserve"> год реализации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4A1" w:rsidRPr="00ED2A8B" w:rsidTr="00337F43">
        <w:tc>
          <w:tcPr>
            <w:tcW w:w="646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808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170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546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44" w:type="dxa"/>
          </w:tcPr>
          <w:p w:rsidR="000B64A1" w:rsidRPr="00ED2A8B" w:rsidRDefault="000B64A1" w:rsidP="00337F43">
            <w:pPr>
              <w:pStyle w:val="ConsPlusNormal"/>
              <w:tabs>
                <w:tab w:val="center" w:pos="4677"/>
                <w:tab w:val="right" w:pos="9355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2A8B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0B64A1" w:rsidRDefault="000B64A1" w:rsidP="000B64A1">
      <w:pPr>
        <w:jc w:val="center"/>
        <w:rPr>
          <w:b/>
          <w:bCs/>
          <w:sz w:val="28"/>
          <w:szCs w:val="28"/>
        </w:rPr>
      </w:pPr>
    </w:p>
    <w:p w:rsidR="00263054" w:rsidRDefault="00263054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Pr="00ED2A8B" w:rsidRDefault="000B64A1" w:rsidP="000B64A1">
      <w:pPr>
        <w:pStyle w:val="af0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ED2A8B">
        <w:rPr>
          <w:rFonts w:ascii="Times New Roman" w:hAnsi="Times New Roman"/>
          <w:b/>
          <w:sz w:val="28"/>
          <w:szCs w:val="28"/>
        </w:rPr>
        <w:t>1. Целевые показатели муниципальной программы</w:t>
      </w: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</w:rPr>
      </w:pPr>
      <w:r w:rsidRPr="00ED2A8B">
        <w:rPr>
          <w:sz w:val="28"/>
          <w:szCs w:val="28"/>
        </w:rPr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0B64A1" w:rsidRPr="00ED2A8B" w:rsidRDefault="000B64A1" w:rsidP="000B64A1">
      <w:pPr>
        <w:jc w:val="center"/>
        <w:rPr>
          <w:sz w:val="28"/>
          <w:szCs w:val="28"/>
        </w:rPr>
      </w:pP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ЦЕЛЕВЫЕ ПОКАЗАТЕЛИ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  <w:r w:rsidRPr="005E6DE3">
        <w:rPr>
          <w:b/>
        </w:rPr>
        <w:t>«</w:t>
      </w:r>
      <w:r w:rsidR="00263054">
        <w:rPr>
          <w:b/>
          <w:sz w:val="28"/>
          <w:szCs w:val="28"/>
        </w:rPr>
        <w:t xml:space="preserve">Сохранение </w:t>
      </w:r>
      <w:r w:rsidR="00263054" w:rsidRPr="00952FF6">
        <w:rPr>
          <w:b/>
          <w:sz w:val="28"/>
          <w:szCs w:val="28"/>
        </w:rPr>
        <w:t>и охрана объектов культурного наследия (памятников истории и культуры) местного значения</w:t>
      </w:r>
      <w:r w:rsidR="00263054">
        <w:rPr>
          <w:b/>
          <w:sz w:val="28"/>
          <w:szCs w:val="28"/>
        </w:rPr>
        <w:t xml:space="preserve"> </w:t>
      </w:r>
      <w:proofErr w:type="spellStart"/>
      <w:r w:rsidR="00263054">
        <w:rPr>
          <w:b/>
          <w:sz w:val="28"/>
          <w:szCs w:val="28"/>
        </w:rPr>
        <w:t>Ахтанизовского</w:t>
      </w:r>
      <w:proofErr w:type="spellEnd"/>
      <w:r w:rsidR="00263054">
        <w:rPr>
          <w:b/>
          <w:sz w:val="28"/>
          <w:szCs w:val="28"/>
        </w:rPr>
        <w:t xml:space="preserve"> сельского поселения</w:t>
      </w:r>
      <w:r w:rsidR="00263054" w:rsidRPr="007708BB">
        <w:rPr>
          <w:b/>
          <w:sz w:val="28"/>
          <w:szCs w:val="28"/>
        </w:rPr>
        <w:t xml:space="preserve"> Темрюкского района</w:t>
      </w:r>
      <w:r w:rsidRPr="005E6DE3">
        <w:rPr>
          <w:b/>
        </w:rPr>
        <w:t>»</w:t>
      </w:r>
    </w:p>
    <w:p w:rsidR="000B64A1" w:rsidRPr="005E6DE3" w:rsidRDefault="000B64A1" w:rsidP="000B64A1">
      <w:pPr>
        <w:jc w:val="center"/>
        <w:rPr>
          <w:b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6"/>
        <w:gridCol w:w="2485"/>
        <w:gridCol w:w="1701"/>
        <w:gridCol w:w="1134"/>
        <w:gridCol w:w="1417"/>
        <w:gridCol w:w="1277"/>
        <w:gridCol w:w="1579"/>
        <w:gridCol w:w="1579"/>
        <w:gridCol w:w="932"/>
        <w:gridCol w:w="1721"/>
      </w:tblGrid>
      <w:tr w:rsidR="000B64A1" w:rsidRPr="000964F7" w:rsidTr="00337F43">
        <w:tc>
          <w:tcPr>
            <w:tcW w:w="776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№ </w:t>
            </w:r>
            <w:proofErr w:type="spellStart"/>
            <w:proofErr w:type="gramStart"/>
            <w:r w:rsidRPr="000964F7">
              <w:t>п</w:t>
            </w:r>
            <w:proofErr w:type="spellEnd"/>
            <w:proofErr w:type="gramEnd"/>
            <w:r w:rsidRPr="000964F7">
              <w:t>/</w:t>
            </w:r>
            <w:proofErr w:type="spellStart"/>
            <w:r w:rsidRPr="000964F7">
              <w:t>п</w:t>
            </w:r>
            <w:proofErr w:type="spellEnd"/>
          </w:p>
        </w:tc>
        <w:tc>
          <w:tcPr>
            <w:tcW w:w="2485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Наименование целевого показателя</w:t>
            </w:r>
          </w:p>
        </w:tc>
        <w:tc>
          <w:tcPr>
            <w:tcW w:w="1701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Единица измерения</w:t>
            </w:r>
          </w:p>
        </w:tc>
        <w:tc>
          <w:tcPr>
            <w:tcW w:w="1134" w:type="dxa"/>
            <w:vMerge w:val="restart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 xml:space="preserve">Статус </w:t>
            </w:r>
          </w:p>
        </w:tc>
        <w:tc>
          <w:tcPr>
            <w:tcW w:w="8505" w:type="dxa"/>
            <w:gridSpan w:val="6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Значение целевого показателя</w:t>
            </w:r>
          </w:p>
        </w:tc>
      </w:tr>
      <w:tr w:rsidR="000B64A1" w:rsidRPr="000964F7" w:rsidTr="00337F43">
        <w:tc>
          <w:tcPr>
            <w:tcW w:w="776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485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1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41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отчетный год</w:t>
            </w:r>
          </w:p>
        </w:tc>
        <w:tc>
          <w:tcPr>
            <w:tcW w:w="1277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1-й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2-й год реализации</w:t>
            </w:r>
          </w:p>
        </w:tc>
        <w:tc>
          <w:tcPr>
            <w:tcW w:w="1579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3-й год реализации</w:t>
            </w:r>
          </w:p>
        </w:tc>
        <w:tc>
          <w:tcPr>
            <w:tcW w:w="932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....</w:t>
            </w:r>
          </w:p>
        </w:tc>
        <w:tc>
          <w:tcPr>
            <w:tcW w:w="1721" w:type="dxa"/>
          </w:tcPr>
          <w:p w:rsidR="000B64A1" w:rsidRPr="000964F7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0964F7">
              <w:t>№-</w:t>
            </w:r>
            <w:proofErr w:type="spellStart"/>
            <w:r w:rsidRPr="000964F7">
              <w:t>й</w:t>
            </w:r>
            <w:proofErr w:type="spellEnd"/>
            <w:r w:rsidRPr="000964F7">
              <w:t xml:space="preserve"> год реализации</w:t>
            </w:r>
          </w:p>
        </w:tc>
      </w:tr>
    </w:tbl>
    <w:p w:rsidR="000B64A1" w:rsidRPr="000964F7" w:rsidRDefault="000B64A1" w:rsidP="000B64A1"/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0"/>
        <w:gridCol w:w="2491"/>
        <w:gridCol w:w="1669"/>
        <w:gridCol w:w="1169"/>
        <w:gridCol w:w="1345"/>
        <w:gridCol w:w="1527"/>
        <w:gridCol w:w="1527"/>
        <w:gridCol w:w="1527"/>
        <w:gridCol w:w="915"/>
        <w:gridCol w:w="1661"/>
      </w:tblGrid>
      <w:tr w:rsidR="000B64A1" w:rsidRPr="00263054" w:rsidTr="00337F43">
        <w:trPr>
          <w:tblHeader/>
        </w:trPr>
        <w:tc>
          <w:tcPr>
            <w:tcW w:w="770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1</w:t>
            </w:r>
          </w:p>
        </w:tc>
        <w:tc>
          <w:tcPr>
            <w:tcW w:w="2491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2</w:t>
            </w:r>
          </w:p>
        </w:tc>
        <w:tc>
          <w:tcPr>
            <w:tcW w:w="1669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3</w:t>
            </w:r>
          </w:p>
        </w:tc>
        <w:tc>
          <w:tcPr>
            <w:tcW w:w="1169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4</w:t>
            </w:r>
          </w:p>
        </w:tc>
        <w:tc>
          <w:tcPr>
            <w:tcW w:w="1345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5</w:t>
            </w:r>
          </w:p>
        </w:tc>
        <w:tc>
          <w:tcPr>
            <w:tcW w:w="1527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6</w:t>
            </w:r>
          </w:p>
        </w:tc>
        <w:tc>
          <w:tcPr>
            <w:tcW w:w="1527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7</w:t>
            </w:r>
          </w:p>
        </w:tc>
        <w:tc>
          <w:tcPr>
            <w:tcW w:w="1527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8</w:t>
            </w:r>
          </w:p>
        </w:tc>
        <w:tc>
          <w:tcPr>
            <w:tcW w:w="915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9</w:t>
            </w:r>
          </w:p>
        </w:tc>
        <w:tc>
          <w:tcPr>
            <w:tcW w:w="1661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10</w:t>
            </w:r>
          </w:p>
        </w:tc>
      </w:tr>
      <w:tr w:rsidR="000B64A1" w:rsidRPr="00263054" w:rsidTr="00337F43">
        <w:tc>
          <w:tcPr>
            <w:tcW w:w="770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1</w:t>
            </w:r>
          </w:p>
        </w:tc>
        <w:tc>
          <w:tcPr>
            <w:tcW w:w="13831" w:type="dxa"/>
            <w:gridSpan w:val="9"/>
          </w:tcPr>
          <w:p w:rsidR="000B64A1" w:rsidRPr="00263054" w:rsidRDefault="000B64A1" w:rsidP="00E160C6">
            <w:r w:rsidRPr="00263054">
              <w:t>Муниципальная программа «</w:t>
            </w:r>
            <w:r w:rsidR="00263054" w:rsidRPr="00263054">
              <w:t xml:space="preserve">Сохранение и охрана объектов культурного наследия (памятников истории и культуры) местного значения </w:t>
            </w:r>
            <w:proofErr w:type="spellStart"/>
            <w:r w:rsidR="00263054" w:rsidRPr="00263054">
              <w:t>Ахтанизовского</w:t>
            </w:r>
            <w:proofErr w:type="spellEnd"/>
            <w:r w:rsidR="00263054" w:rsidRPr="00263054">
              <w:t xml:space="preserve"> сельского поселения Темрюкского района</w:t>
            </w:r>
            <w:r w:rsidRPr="00263054">
              <w:t>»</w:t>
            </w:r>
          </w:p>
        </w:tc>
      </w:tr>
      <w:tr w:rsidR="000B64A1" w:rsidRPr="00263054" w:rsidTr="00337F43">
        <w:trPr>
          <w:trHeight w:val="890"/>
        </w:trPr>
        <w:tc>
          <w:tcPr>
            <w:tcW w:w="770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1.1</w:t>
            </w:r>
          </w:p>
        </w:tc>
        <w:tc>
          <w:tcPr>
            <w:tcW w:w="2491" w:type="dxa"/>
          </w:tcPr>
          <w:p w:rsidR="000B64A1" w:rsidRPr="00263054" w:rsidRDefault="00263054" w:rsidP="00E160C6">
            <w:pPr>
              <w:jc w:val="both"/>
            </w:pPr>
            <w:r w:rsidRPr="00263054">
              <w:t>количество отремонтированных памятников</w:t>
            </w:r>
          </w:p>
        </w:tc>
        <w:tc>
          <w:tcPr>
            <w:tcW w:w="1669" w:type="dxa"/>
          </w:tcPr>
          <w:p w:rsidR="000B64A1" w:rsidRPr="00263054" w:rsidRDefault="00263054" w:rsidP="00337F43">
            <w:pPr>
              <w:pStyle w:val="ab"/>
              <w:rPr>
                <w:rFonts w:ascii="Times New Roman" w:hAnsi="Times New Roman" w:cs="Times New Roman"/>
              </w:rPr>
            </w:pPr>
            <w:r w:rsidRPr="00263054">
              <w:rPr>
                <w:rFonts w:ascii="Times New Roman" w:hAnsi="Times New Roman"/>
              </w:rPr>
              <w:t>шт.</w:t>
            </w:r>
          </w:p>
        </w:tc>
        <w:tc>
          <w:tcPr>
            <w:tcW w:w="1169" w:type="dxa"/>
          </w:tcPr>
          <w:p w:rsidR="000B64A1" w:rsidRPr="00263054" w:rsidRDefault="000B64A1" w:rsidP="00337F43">
            <w:pPr>
              <w:tabs>
                <w:tab w:val="center" w:pos="4677"/>
                <w:tab w:val="right" w:pos="9355"/>
              </w:tabs>
              <w:jc w:val="center"/>
            </w:pPr>
            <w:r w:rsidRPr="00263054">
              <w:t>3</w:t>
            </w:r>
          </w:p>
        </w:tc>
        <w:tc>
          <w:tcPr>
            <w:tcW w:w="1345" w:type="dxa"/>
          </w:tcPr>
          <w:p w:rsidR="000B64A1" w:rsidRPr="00263054" w:rsidRDefault="000B64A1" w:rsidP="00337F43">
            <w:r w:rsidRPr="00263054">
              <w:t>202</w:t>
            </w:r>
            <w:r w:rsidR="00B409E6">
              <w:t>6</w:t>
            </w:r>
          </w:p>
        </w:tc>
        <w:tc>
          <w:tcPr>
            <w:tcW w:w="1527" w:type="dxa"/>
          </w:tcPr>
          <w:p w:rsidR="000B64A1" w:rsidRPr="00263054" w:rsidRDefault="00263054" w:rsidP="00337F43">
            <w:r w:rsidRPr="00263054">
              <w:t>8</w:t>
            </w:r>
          </w:p>
        </w:tc>
        <w:tc>
          <w:tcPr>
            <w:tcW w:w="1527" w:type="dxa"/>
          </w:tcPr>
          <w:p w:rsidR="000B64A1" w:rsidRPr="00263054" w:rsidRDefault="00263054" w:rsidP="00337F43">
            <w:r w:rsidRPr="00263054">
              <w:t>8</w:t>
            </w:r>
          </w:p>
        </w:tc>
        <w:tc>
          <w:tcPr>
            <w:tcW w:w="1527" w:type="dxa"/>
          </w:tcPr>
          <w:p w:rsidR="000B64A1" w:rsidRPr="00263054" w:rsidRDefault="00263054" w:rsidP="00337F43">
            <w:r w:rsidRPr="00263054">
              <w:t>8</w:t>
            </w:r>
          </w:p>
        </w:tc>
        <w:tc>
          <w:tcPr>
            <w:tcW w:w="915" w:type="dxa"/>
          </w:tcPr>
          <w:p w:rsidR="000B64A1" w:rsidRPr="00263054" w:rsidRDefault="00263054" w:rsidP="00337F43">
            <w:r w:rsidRPr="00263054">
              <w:t>8</w:t>
            </w:r>
          </w:p>
        </w:tc>
        <w:tc>
          <w:tcPr>
            <w:tcW w:w="1661" w:type="dxa"/>
          </w:tcPr>
          <w:p w:rsidR="000B64A1" w:rsidRPr="00263054" w:rsidRDefault="00263054" w:rsidP="00337F43">
            <w:pPr>
              <w:tabs>
                <w:tab w:val="center" w:pos="4677"/>
                <w:tab w:val="right" w:pos="9355"/>
              </w:tabs>
            </w:pPr>
            <w:r w:rsidRPr="00263054">
              <w:t>8</w:t>
            </w:r>
          </w:p>
        </w:tc>
      </w:tr>
    </w:tbl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0B64A1" w:rsidRDefault="000B64A1" w:rsidP="000B64A1">
      <w:pPr>
        <w:tabs>
          <w:tab w:val="left" w:pos="9000"/>
        </w:tabs>
        <w:rPr>
          <w:sz w:val="28"/>
          <w:szCs w:val="28"/>
        </w:rPr>
      </w:pPr>
    </w:p>
    <w:p w:rsidR="00263054" w:rsidRDefault="0026305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3054" w:rsidRDefault="0026305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3054" w:rsidRDefault="0026305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63054" w:rsidRDefault="00263054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19052C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</w:t>
      </w:r>
    </w:p>
    <w:p w:rsidR="000B64A1" w:rsidRDefault="000B64A1" w:rsidP="000B64A1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2. Перечень основных мероприятий муниципальной программы</w:t>
      </w:r>
    </w:p>
    <w:p w:rsidR="000B64A1" w:rsidRPr="005E6DE3" w:rsidRDefault="000B64A1" w:rsidP="000B64A1">
      <w:pPr>
        <w:jc w:val="center"/>
        <w:rPr>
          <w:b/>
        </w:rPr>
      </w:pPr>
    </w:p>
    <w:p w:rsidR="000B64A1" w:rsidRPr="00AC0214" w:rsidRDefault="000B64A1" w:rsidP="000B64A1">
      <w:pPr>
        <w:jc w:val="center"/>
        <w:rPr>
          <w:b/>
        </w:rPr>
      </w:pPr>
      <w:r w:rsidRPr="00AC0214">
        <w:rPr>
          <w:b/>
        </w:rPr>
        <w:t>ПЕРЕЧЕНЬ ОСНОВНЫХ МЕРОПРИЯТИЙ МУНИЦИПАЛЬНОЙ ПРОГРАММЫ</w:t>
      </w:r>
    </w:p>
    <w:p w:rsidR="000B64A1" w:rsidRDefault="000B64A1" w:rsidP="000B64A1">
      <w:pPr>
        <w:jc w:val="center"/>
        <w:rPr>
          <w:b/>
        </w:rPr>
      </w:pPr>
      <w:r w:rsidRPr="00AC0214">
        <w:rPr>
          <w:b/>
        </w:rPr>
        <w:t>«</w:t>
      </w:r>
      <w:r w:rsidR="00263054">
        <w:rPr>
          <w:b/>
          <w:sz w:val="28"/>
          <w:szCs w:val="28"/>
        </w:rPr>
        <w:t xml:space="preserve">Сохранение </w:t>
      </w:r>
      <w:r w:rsidR="00263054" w:rsidRPr="00952FF6">
        <w:rPr>
          <w:b/>
          <w:sz w:val="28"/>
          <w:szCs w:val="28"/>
        </w:rPr>
        <w:t>и охрана объектов культурного наследия (памятников истории и культуры) местного значения</w:t>
      </w:r>
      <w:r w:rsidR="00263054">
        <w:rPr>
          <w:b/>
          <w:sz w:val="28"/>
          <w:szCs w:val="28"/>
        </w:rPr>
        <w:t xml:space="preserve"> </w:t>
      </w:r>
      <w:proofErr w:type="spellStart"/>
      <w:r w:rsidR="00263054">
        <w:rPr>
          <w:b/>
          <w:sz w:val="28"/>
          <w:szCs w:val="28"/>
        </w:rPr>
        <w:t>Ахтанизовского</w:t>
      </w:r>
      <w:proofErr w:type="spellEnd"/>
      <w:r w:rsidR="00263054">
        <w:rPr>
          <w:b/>
          <w:sz w:val="28"/>
          <w:szCs w:val="28"/>
        </w:rPr>
        <w:t xml:space="preserve"> сельского поселения</w:t>
      </w:r>
      <w:r w:rsidR="00263054" w:rsidRPr="007708BB">
        <w:rPr>
          <w:b/>
          <w:sz w:val="28"/>
          <w:szCs w:val="28"/>
        </w:rPr>
        <w:t xml:space="preserve"> Темрюкского района</w:t>
      </w:r>
      <w:r w:rsidRPr="00AC0214">
        <w:rPr>
          <w:b/>
        </w:rPr>
        <w:t>»</w:t>
      </w:r>
    </w:p>
    <w:p w:rsidR="0019052C" w:rsidRPr="00AC0214" w:rsidRDefault="0019052C" w:rsidP="000B64A1">
      <w:pPr>
        <w:jc w:val="center"/>
        <w:rPr>
          <w:b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2092"/>
        <w:gridCol w:w="557"/>
        <w:gridCol w:w="1065"/>
        <w:gridCol w:w="992"/>
        <w:gridCol w:w="822"/>
        <w:gridCol w:w="992"/>
        <w:gridCol w:w="993"/>
        <w:gridCol w:w="1134"/>
        <w:gridCol w:w="2976"/>
        <w:gridCol w:w="2410"/>
      </w:tblGrid>
      <w:tr w:rsidR="000B64A1" w:rsidRPr="00263054" w:rsidTr="000409BD"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№</w:t>
            </w:r>
            <w:r w:rsidRPr="00263054">
              <w:rPr>
                <w:rFonts w:ascii="Times New Roman" w:hAnsi="Times New Roman"/>
              </w:rPr>
              <w:br/>
            </w:r>
            <w:proofErr w:type="spellStart"/>
            <w:proofErr w:type="gramStart"/>
            <w:r w:rsidRPr="00263054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63054">
              <w:rPr>
                <w:rFonts w:ascii="Times New Roman" w:hAnsi="Times New Roman"/>
              </w:rPr>
              <w:t>/</w:t>
            </w:r>
            <w:proofErr w:type="spellStart"/>
            <w:r w:rsidRPr="00263054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Статус</w:t>
            </w:r>
            <w:hyperlink w:anchor="P1007" w:history="1"/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Годы реализации</w:t>
            </w:r>
          </w:p>
        </w:tc>
        <w:tc>
          <w:tcPr>
            <w:tcW w:w="4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Объем финансирования, тыс. рублей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0B64A1" w:rsidRPr="00263054" w:rsidTr="000409BD"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всего</w:t>
            </w:r>
          </w:p>
        </w:tc>
        <w:tc>
          <w:tcPr>
            <w:tcW w:w="3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 разрезе источников финансирования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263054" w:rsidTr="000409BD">
        <w:trPr>
          <w:cantSplit/>
          <w:trHeight w:val="1409"/>
        </w:trPr>
        <w:tc>
          <w:tcPr>
            <w:tcW w:w="85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B64A1" w:rsidRPr="00263054" w:rsidRDefault="000B64A1" w:rsidP="000B64A1">
            <w:pPr>
              <w:pStyle w:val="ab"/>
              <w:ind w:left="113" w:right="113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0B64A1" w:rsidP="000B64A1">
            <w:pPr>
              <w:pStyle w:val="ab"/>
              <w:rPr>
                <w:rFonts w:ascii="Times New Roman" w:hAnsi="Times New Roman"/>
              </w:rPr>
            </w:pPr>
          </w:p>
        </w:tc>
      </w:tr>
      <w:tr w:rsidR="000B64A1" w:rsidRPr="00263054" w:rsidTr="000409BD">
        <w:trPr>
          <w:tblHeader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11</w:t>
            </w:r>
          </w:p>
        </w:tc>
      </w:tr>
      <w:tr w:rsidR="000B64A1" w:rsidRPr="00263054" w:rsidTr="000409B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Цель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263054" w:rsidP="000B64A1">
            <w:r w:rsidRPr="00263054">
              <w:t>сохранение и  государственная охрана объектов культурного наследия</w:t>
            </w:r>
          </w:p>
        </w:tc>
      </w:tr>
      <w:tr w:rsidR="000B64A1" w:rsidRPr="00263054" w:rsidTr="000409B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Задача </w:t>
            </w:r>
          </w:p>
        </w:tc>
        <w:tc>
          <w:tcPr>
            <w:tcW w:w="11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263054" w:rsidP="000B64A1">
            <w:r w:rsidRPr="00263054">
              <w:t>проведение текущего ремонта для предотвращения повреждения, разрушения или уничтожения, изменения облика, нарушения установленного порядка использования, перемещения и предотвращения других действий, которые могут причинить вред объектам культурного наследия</w:t>
            </w:r>
          </w:p>
        </w:tc>
      </w:tr>
      <w:tr w:rsidR="000B64A1" w:rsidRPr="00263054" w:rsidTr="000409BD"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center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1.1.1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Default="00263054" w:rsidP="000B64A1">
            <w:pPr>
              <w:pStyle w:val="ac"/>
              <w:rPr>
                <w:rFonts w:ascii="Times New Roman" w:hAnsi="Times New Roman"/>
              </w:rPr>
            </w:pPr>
            <w:r w:rsidRPr="00A12E96">
              <w:rPr>
                <w:rFonts w:ascii="Times New Roman" w:hAnsi="Times New Roman"/>
              </w:rPr>
              <w:t>Текущий ремонт памятников</w:t>
            </w:r>
          </w:p>
          <w:p w:rsidR="000409BD" w:rsidRPr="000409BD" w:rsidRDefault="000409BD" w:rsidP="000409BD">
            <w:r w:rsidRPr="000409BD">
              <w:t>Благоустройство территории  около  Братск</w:t>
            </w:r>
            <w:r>
              <w:t>ой могилы  и ремонт памятника  «</w:t>
            </w:r>
            <w:r w:rsidRPr="000409BD">
              <w:t xml:space="preserve">Братская могила 70 советских воинов, в </w:t>
            </w:r>
            <w:proofErr w:type="spellStart"/>
            <w:r w:rsidRPr="000409BD">
              <w:t>ст</w:t>
            </w:r>
            <w:proofErr w:type="gramStart"/>
            <w:r w:rsidRPr="000409BD">
              <w:t>.А</w:t>
            </w:r>
            <w:proofErr w:type="gramEnd"/>
            <w:r w:rsidRPr="000409BD">
              <w:t>хтанизовская</w:t>
            </w:r>
            <w:proofErr w:type="spellEnd"/>
            <w:r w:rsidRPr="000409BD">
              <w:t>,</w:t>
            </w:r>
            <w:r>
              <w:t xml:space="preserve"> </w:t>
            </w:r>
            <w:r w:rsidRPr="000409BD">
              <w:t>южнее развилки ул.Красная и ул.Садовая</w:t>
            </w:r>
            <w:r>
              <w:t>»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3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C64A8A">
            <w:pPr>
              <w:pStyle w:val="ac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202</w:t>
            </w:r>
            <w:r w:rsidR="00B409E6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B409E6" w:rsidRDefault="00B409E6" w:rsidP="00B409E6">
            <w:pPr>
              <w:pStyle w:val="ab"/>
              <w:jc w:val="left"/>
              <w:rPr>
                <w:rFonts w:ascii="Times New Roman" w:hAnsi="Times New Roman"/>
              </w:rPr>
            </w:pPr>
            <w:r w:rsidRPr="00B409E6">
              <w:rPr>
                <w:rFonts w:ascii="Times New Roman" w:hAnsi="Times New Roman" w:cs="Times New Roman"/>
              </w:rPr>
              <w:t>3770,0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B409E6" w:rsidP="000B64A1">
            <w:pPr>
              <w:pStyle w:val="ab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3570</w:t>
            </w:r>
            <w:r w:rsidR="000B64A1" w:rsidRPr="00263054">
              <w:rPr>
                <w:rFonts w:ascii="Times New Roman" w:hAnsi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263054" w:rsidP="000B64A1">
            <w:r>
              <w:t>20</w:t>
            </w:r>
            <w:r w:rsidRPr="00263054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>0,0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4A1" w:rsidRPr="00263054" w:rsidRDefault="00263054" w:rsidP="000B64A1">
            <w:r>
              <w:t>Выполнение работ по текущему ремонту памятников – 8 памятников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4A1" w:rsidRPr="00263054" w:rsidRDefault="000B64A1" w:rsidP="000B64A1">
            <w:pPr>
              <w:pStyle w:val="ab"/>
              <w:jc w:val="left"/>
              <w:rPr>
                <w:rFonts w:ascii="Times New Roman" w:hAnsi="Times New Roman"/>
              </w:rPr>
            </w:pPr>
            <w:r w:rsidRPr="00263054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263054">
              <w:rPr>
                <w:rFonts w:ascii="Times New Roman" w:hAnsi="Times New Roman"/>
              </w:rPr>
              <w:t>Ахтанизовского</w:t>
            </w:r>
            <w:proofErr w:type="spellEnd"/>
            <w:r w:rsidRPr="00263054">
              <w:rPr>
                <w:rFonts w:ascii="Times New Roman" w:hAnsi="Times New Roman"/>
              </w:rPr>
              <w:t xml:space="preserve"> сельского поселения Темрюкского района</w:t>
            </w:r>
          </w:p>
        </w:tc>
      </w:tr>
    </w:tbl>
    <w:p w:rsidR="000B64A1" w:rsidRDefault="000B64A1" w:rsidP="00DE4872">
      <w:pPr>
        <w:spacing w:line="240" w:lineRule="atLeast"/>
        <w:jc w:val="both"/>
        <w:rPr>
          <w:sz w:val="28"/>
          <w:szCs w:val="28"/>
        </w:rPr>
        <w:sectPr w:rsidR="000B64A1" w:rsidSect="000B64A1">
          <w:headerReference w:type="default" r:id="rId7"/>
          <w:headerReference w:type="first" r:id="rId8"/>
          <w:pgSz w:w="16838" w:h="11906" w:orient="landscape"/>
          <w:pgMar w:top="284" w:right="567" w:bottom="1134" w:left="1701" w:header="709" w:footer="709" w:gutter="0"/>
          <w:cols w:space="708"/>
          <w:titlePg/>
          <w:docGrid w:linePitch="360"/>
        </w:sectPr>
      </w:pPr>
    </w:p>
    <w:p w:rsidR="000B64A1" w:rsidRPr="005E6DE3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lastRenderedPageBreak/>
        <w:t>Методика оценки эффективности реализации муниципальной</w:t>
      </w:r>
    </w:p>
    <w:p w:rsidR="000B64A1" w:rsidRPr="005E6DE3" w:rsidRDefault="000B64A1" w:rsidP="000B64A1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5E6DE3">
        <w:rPr>
          <w:rFonts w:ascii="Times New Roman" w:hAnsi="Times New Roman" w:cs="Times New Roman"/>
          <w:sz w:val="24"/>
          <w:szCs w:val="24"/>
        </w:rPr>
        <w:t>программы</w:t>
      </w:r>
    </w:p>
    <w:p w:rsidR="000B64A1" w:rsidRPr="005E6DE3" w:rsidRDefault="000B64A1" w:rsidP="000B64A1">
      <w:pPr>
        <w:pStyle w:val="ConsPlusNormal"/>
        <w:jc w:val="center"/>
        <w:rPr>
          <w:rFonts w:ascii="Times New Roman" w:hAnsi="Times New Roman" w:cs="Times New Roman"/>
        </w:rPr>
      </w:pPr>
    </w:p>
    <w:p w:rsidR="000B64A1" w:rsidRPr="005E6DE3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B64A1" w:rsidRPr="00ED2A8B" w:rsidRDefault="000B64A1" w:rsidP="000B64A1">
      <w:pPr>
        <w:ind w:firstLine="709"/>
        <w:jc w:val="both"/>
        <w:rPr>
          <w:sz w:val="28"/>
          <w:szCs w:val="28"/>
          <w:lang w:eastAsia="ar-SA"/>
        </w:rPr>
      </w:pPr>
      <w:r w:rsidRPr="00ED2A8B">
        <w:rPr>
          <w:sz w:val="28"/>
          <w:szCs w:val="28"/>
        </w:rPr>
        <w:t xml:space="preserve">Оценка эффективности реализации муниципальной программы осуществляется в соответствии с методикой, предусмотренной постановлением администрации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</w:rPr>
        <w:t xml:space="preserve"> сельского поселения Темрюкского района от </w:t>
      </w:r>
      <w:r w:rsidRPr="00ED2A8B">
        <w:rPr>
          <w:color w:val="000000"/>
          <w:sz w:val="28"/>
          <w:szCs w:val="28"/>
          <w:shd w:val="clear" w:color="auto" w:fill="FFFFFF"/>
        </w:rPr>
        <w:t xml:space="preserve">30 августа 2024 года № 148 </w:t>
      </w:r>
      <w:r w:rsidRPr="00ED2A8B">
        <w:rPr>
          <w:sz w:val="28"/>
          <w:szCs w:val="28"/>
        </w:rPr>
        <w:t xml:space="preserve">«Об утверждении порядка </w:t>
      </w:r>
      <w:r w:rsidRPr="00ED2A8B">
        <w:rPr>
          <w:sz w:val="28"/>
          <w:szCs w:val="28"/>
          <w:lang w:eastAsia="ar-SA"/>
        </w:rPr>
        <w:t xml:space="preserve">принятия решения о разработке, формировании, реализации и оценке эффективности реализации муниципальных программ </w:t>
      </w:r>
      <w:proofErr w:type="spellStart"/>
      <w:r w:rsidRPr="00ED2A8B">
        <w:rPr>
          <w:sz w:val="28"/>
          <w:szCs w:val="28"/>
        </w:rPr>
        <w:t>Ахтанизовского</w:t>
      </w:r>
      <w:proofErr w:type="spellEnd"/>
      <w:r w:rsidRPr="00ED2A8B">
        <w:rPr>
          <w:sz w:val="28"/>
          <w:szCs w:val="28"/>
          <w:lang w:eastAsia="ar-SA"/>
        </w:rPr>
        <w:t xml:space="preserve"> сельского поселения Темрюкского района».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1.1. Оценка эффективности реализации муниципальной программы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(далее - муниципальная программа) производится ежегодно. 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об оценке эффективности ее реализации.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1.2. Оценка эффективности реализации муниципальной программы рассчитывается на основании: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реализации мероприятий подпрограмм и основных мероприятий, включенных в муниципальную программу (далее - степень реализации мероприятий);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эффективности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подпрограмм, включенных в муниципальную программу (далее - оценка степени реализации подпрограммы);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оценки степени достижения целей и решения задач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1.3. Мероприятия подпрограмм и основные мероприятия муниципальной программы, предусматривающие исключительно расходы на содержание координатора муниципальной программы (подпрограммы), и (или) участника муниципальной программы, из расчета оценки эффективности реализации муниципальной программы исключаются.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2. Оценка степени реализации мероприятий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2.1. Для оценки степени реализации мероприятий определяется степень выполнения показателя непосредственного результата мероприятия (далее - непосредственный результат).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2.2. Степень выполнения непосредственного результата рассчитывается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непосредственных результатов,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непосредственного результата,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НРп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непосредственного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если фактическое значение непосредственного результата превышает его плановое значение,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случае если основное мероприятие, мероприятие подпрограммы имеет несколько показателей непосредственного результата, расчет проводится по каждому из них.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2.3.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Оценка степени выполнения непосредственного результата по мероприятию, предусматривающему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определяется на основании отчетов об исполнении сводных показателей муниципальных заданий на оказание муниципальных услуг (выполнение работ) муниципальными учреждениями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2.4. В случае отсутствия количественной характеристики непосредственного результата степень выполнения мероприятия оценивается по наступлению или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ненаступлению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контрольного события (событий) и (или) достижению качественного результата.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2.5. Оценка степени выполнения непосредственного результата не определяется по мероприятиям, направленным на ликвидацию чрезвычайных ситуаций природного и техногенного характера, а также на предоставление страховых гарантий отдельным категориям граждан, в порядке, установленном нормативно - правовыми актами администрации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2.6. Степень реализации мероприятий рассчитывается для каждой подпрограммы и перечня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A19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195D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6" type="#_x0000_t75" alt="base_23729_196884_32768" style="width:162pt;height:36.75pt;visibility:visible">
            <v:imagedata r:id="rId9" o:title="base_23729_196884_32768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СВнр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выполнения непосредственного результата;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N - количество непосредственных результатов, запланированных к выполнению в отчетном периоде.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3. Оценка степени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соответствия запланированному уровню расходов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3.1. Степень соответствия запланированному уровню расходов рассчитывается для каждой подпрограммы и перечня основных мероприятий муниципальной программы как отношение фактически произведенных в отчетном периоде расходов на их реализацию к плановым значениям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((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) /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+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>аевого бюджета, в том числе источником финансирования которых являются межбюджетные трансферты из федерального бюджета,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пкб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в отчетном периоде. Используются данные об объемах бюджетных ассигнований в соответствии со сводной бюджетной росписью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по состоянию на 31 декабря отчетного года;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пмб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в отчетном периоде. Используются данные об объемах бюджетных ассигнований, предусматриваемые в бюджете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фактические расходы на реализацию подпрограммы (перечня основных мероприятий) из средств внебюджетных источников в отчетном периоде;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плановые расходы на реализацию подпрограммы (перечня основных мероприятий) из средств внебюджетных источников в отчетном периоде.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Используются данные по объемам расходов, предусмотренных за счет внебюджетных источников на реализацию подпрограммы (перечня основных мероприятий) в соответствии с действующей на момент проведения оценки эффективности реализации муниципальной программы редакцией муниципальной программы.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Если фактические расходы на реализацию подпрограммы (перечня основных мероприятий) из средств внебюджетных источников в отчетном периоде превышают плановые расходы, то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фви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федерального, краевого и местных бюджетных источников (далее - бюджетные источники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= 0,6);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весовой коэффициент значимости расходов из средств внебюджетных источников (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0,4).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Если расходы на реализацию подпрограммы (перечня основных мероприятий) предусмотрены только за счет средств бюджетных источников, 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k</w:t>
      </w:r>
      <w:proofErr w:type="gram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зб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1,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зви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не применяется.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наличия по состоянию на 1 января текущего финансового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года неисполненных денежных обязательств получателей средств бюджета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возникших в отчетном финансовом году,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с учетом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случае финансирования в отчетном финансовом году денежных обязательств получателей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не исполненных по состоянию на 1 января отчетного финансового года, плановые и фактические расходы на реализацию мероприятий подпрограмм и основных мероприятий муниципальной программы в отчетном финансовом году определяются без учета данных денежных обязательств.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bookmarkStart w:id="0" w:name="P1191"/>
      <w:bookmarkEnd w:id="0"/>
      <w:r w:rsidRPr="00ED2A8B">
        <w:rPr>
          <w:rFonts w:ascii="Times New Roman" w:hAnsi="Times New Roman" w:cs="Times New Roman"/>
          <w:b w:val="0"/>
          <w:sz w:val="28"/>
          <w:szCs w:val="28"/>
        </w:rPr>
        <w:t>4. Оценка эффективности использования финансовых ресурсов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Эффективность использования финансовых ресурсов рассчитывается для каждой подпрограммы и перечня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0,7 +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0,3,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мероприятий;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СС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уз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соответствия запланированному уровню расходов.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5. Оценка степени реализации 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5.1. Для оценки степени реализации подпрограммы определяется степень достижения плановых значений каждого целевого показателя, характеризующего цели и задачи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5.2. Степень достижения планового значения целевого показателя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подпрограммы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5.3. Степень реализации подпрограммы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A19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A195D">
        <w:rPr>
          <w:rFonts w:ascii="Times New Roman" w:hAnsi="Times New Roman" w:cs="Times New Roman"/>
          <w:noProof/>
          <w:position w:val="-33"/>
          <w:sz w:val="28"/>
          <w:szCs w:val="28"/>
        </w:rPr>
        <w:pict>
          <v:shape id="Рисунок 3" o:spid="_x0000_i1027" type="#_x0000_t75" alt="base_23729_196884_32769" style="width:170.25pt;height:40.5pt;visibility:visible">
            <v:imagedata r:id="rId10" o:title="base_23729_196884_32769"/>
          </v:shape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К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количество целевых показателей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6. Оценка эффективности реализации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 xml:space="preserve">подпрограммы 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6.1.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финансовых ресурсов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подпрограммы.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6.2. Эффективность реализации подпрограммы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подпрограммы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F6B" w:rsidRPr="00ED2A8B" w:rsidRDefault="00720F6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7. Оценка степени достижения целей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и решения задач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7.1. Для оценки степени достижения целей и решения задач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пф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ЗП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&gt; 1,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принимается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равным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1.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7.3. Степень достижения целей и решения задач муниципальной программы рассчитывается по формуле:</w:t>
      </w: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</w:t>
      </w:r>
      <w:r w:rsidR="001A195D" w:rsidRPr="00ED2A8B">
        <w:rPr>
          <w:rFonts w:ascii="Times New Roman" w:hAnsi="Times New Roman" w:cs="Times New Roman"/>
          <w:sz w:val="28"/>
          <w:szCs w:val="28"/>
        </w:rPr>
        <w:fldChar w:fldCharType="begin"/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494506" w:rsidRPr="001A195D">
        <w:rPr>
          <w:rFonts w:ascii="Times New Roman" w:hAnsi="Times New Roman" w:cs="Times New Roman"/>
          <w:position w:val="-8"/>
          <w:sz w:val="28"/>
          <w:szCs w:val="28"/>
        </w:rPr>
        <w:pict>
          <v:shape id="_x0000_i1028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Pr="00ED2A8B">
        <w:rPr>
          <w:rFonts w:ascii="Times New Roman" w:hAnsi="Times New Roman" w:cs="Times New Roman"/>
          <w:sz w:val="28"/>
          <w:szCs w:val="28"/>
        </w:rPr>
        <w:instrText xml:space="preserve"> </w:instrText>
      </w:r>
      <w:r w:rsidR="001A195D" w:rsidRPr="00ED2A8B">
        <w:rPr>
          <w:rFonts w:ascii="Times New Roman" w:hAnsi="Times New Roman" w:cs="Times New Roman"/>
          <w:sz w:val="28"/>
          <w:szCs w:val="28"/>
        </w:rPr>
        <w:fldChar w:fldCharType="separate"/>
      </w:r>
      <w:r w:rsidR="00494506" w:rsidRPr="001A195D">
        <w:rPr>
          <w:rFonts w:ascii="Times New Roman" w:hAnsi="Times New Roman" w:cs="Times New Roman"/>
          <w:position w:val="-8"/>
          <w:sz w:val="28"/>
          <w:szCs w:val="28"/>
        </w:rPr>
        <w:pict>
          <v:shape id="_x0000_i1029" type="#_x0000_t75" style="width:27pt;height:19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026A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1B026A&quot;&gt;&lt;m:oMathPara&gt;&lt;m:oMath&gt;&lt;m:nary&gt;&lt;m:naryPr&gt;&lt;m:chr m:val=&quot;в€‘&quot;/&gt;&lt;m:grow m:val=&quot;on&quot;/&gt;&lt;m:ctrlPr&gt;&lt;w:rPr&gt;&lt;w:rFonts w:ascii=&quot;Cambria Math&quot; w:h-ansi=&quot;Cambria Math&quot;/&gt;&lt;wx:font wx:val=&quot;Cambria Math&quot;/&gt;&lt;w:sz w:val=&quot;32&quot;/&gt;&lt;w:sz-cs w:val=&quot;32&quot;/&gt;&lt;/w:rPr&gt;&lt;/m:ctrlPr&gt;&lt;/m:naryPr&gt;&lt;m:sub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1&lt;/m:t&gt;&lt;/m:r&gt;&lt;/m:sub&gt;&lt;m:sup&gt;&lt;m:r&gt;&lt;w:rPr&gt;&lt;w:rFonts w:ascii=&quot;Cambria Math&quot; w:fareast=&quot;Cambria Math&quot; w:h-ansi=&quot;Cambria Math&quot; w:cs=&quot;Cambria Math&quot;/&gt;&lt;wx:font wx:val=&quot;Cambria Math&quot;/&gt;&lt;w:i/&gt;&lt;w:sz w:val=&quot;32&quot;/&gt;&lt;w:sz-cs w:val=&quot;32&quot;/&gt;&lt;/w:rPr&gt;&lt;m:t&gt;Рњ&lt;/m:t&gt;&lt;/m:r&gt;&lt;/m:sup&gt;&lt;m:e&gt;&lt;m:r&gt;&lt;m:rPr&gt;&lt;m:sty m:val=&quot;p&quot;/&gt;&lt;/m:rPr&gt;&lt;w:rPr&gt;&lt;w:rFonts w:ascii=&quot;Cambria Math&quot; w:h-ansi=&quot;Cambria Math&quot;/&gt;&lt;wx:font wx:val=&quot;Cambria Math&quot;/&gt;&lt;w:sz w:val=&quot;32&quot;/&gt;&lt;w:sz-cs w:val=&quot;32&quot;/&gt;&lt;/w:rPr&gt;&lt;m:t&gt; &lt;/m:t&gt;&lt;/m:r&gt;&lt;/m:e&gt;&lt;/m:nary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1A195D" w:rsidRPr="00ED2A8B">
        <w:rPr>
          <w:rFonts w:ascii="Times New Roman" w:hAnsi="Times New Roman" w:cs="Times New Roman"/>
          <w:sz w:val="28"/>
          <w:szCs w:val="28"/>
        </w:rPr>
        <w:fldChar w:fldCharType="end"/>
      </w:r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/ М, где:               </w:t>
      </w:r>
      <w:r w:rsidRPr="00ED2A8B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СД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пз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М - количество целевых показателей, характеризующих цели и задачи муниципальной программы.</w:t>
      </w:r>
    </w:p>
    <w:p w:rsidR="000B64A1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F6B" w:rsidRDefault="00720F6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F6B" w:rsidRPr="00ED2A8B" w:rsidRDefault="00720F6B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lastRenderedPageBreak/>
        <w:t>8. Оценка эффективности</w:t>
      </w:r>
    </w:p>
    <w:p w:rsidR="000B64A1" w:rsidRPr="00ED2A8B" w:rsidRDefault="000B64A1" w:rsidP="000B64A1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D2A8B">
        <w:rPr>
          <w:rFonts w:ascii="Times New Roman" w:hAnsi="Times New Roman" w:cs="Times New Roman"/>
          <w:b w:val="0"/>
          <w:sz w:val="28"/>
          <w:szCs w:val="28"/>
        </w:rPr>
        <w:t>реализации муниципальной программы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8.1. Выбор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формулы расчета эффективности реализации муниципальной 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зависит от структуры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8.1.1. В случае если муниципальная программа сформирована только из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использования финансовых ресурсов на реализацию основных мероприятий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x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8.1.2. В случае если муниципальная программа сформирована только из подпрограмм, эффективность ее реализации рассчитывается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1A195D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49" editas="canvas" style="width:255.45pt;height:55.5pt;mso-position-horizontal-relative:char;mso-position-vertical-relative:line" coordsize="5109,1110">
            <o:lock v:ext="edit" aspectratio="t"/>
            <v:shape id="_x0000_s1050" type="#_x0000_t75" style="position:absolute;width:5109;height:1110" o:preferrelative="f">
              <v:fill o:detectmouseclick="t"/>
              <v:path o:extrusionok="t" o:connecttype="none"/>
              <o:lock v:ext="edit" text="t"/>
            </v:shape>
            <v:rect id="_x0000_s1051" style="position:absolute;width:4575;height:1080" stroked="f"/>
            <v:rect id="_x0000_s1052" style="position:absolute;left:4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53" style="position:absolute;left:40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4" style="position:absolute;left:63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=</w:t>
                    </w:r>
                  </w:p>
                </w:txbxContent>
              </v:textbox>
            </v:rect>
            <v:rect id="_x0000_s1055" style="position:absolute;left:82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56" style="position:absolute;left:1335;top:375;width:367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СР</w:t>
                    </w:r>
                  </w:p>
                </w:txbxContent>
              </v:textbox>
            </v:rect>
            <v:rect id="_x0000_s1057" style="position:absolute;left:1695;top:510;width:28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</w:rPr>
                      <w:t>м</w:t>
                    </w:r>
                    <w:r>
                      <w:rPr>
                        <w:color w:val="000000"/>
                        <w:lang w:val="en-US"/>
                      </w:rPr>
                      <w:t>п</w:t>
                    </w:r>
                  </w:p>
                </w:txbxContent>
              </v:textbox>
            </v:rect>
            <v:rect id="_x0000_s1058" style="position:absolute;left:1920;top:375;width:170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+</w:t>
                    </w:r>
                  </w:p>
                </w:txbxContent>
              </v:textbox>
            </v:rect>
            <v:rect id="_x0000_s1059" style="position:absolute;left:2115;top:375;width:526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0</w:t>
                    </w:r>
                    <w:proofErr w:type="gramStart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,5</w:t>
                    </w:r>
                    <w:proofErr w:type="gramEnd"/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0" style="position:absolute;left:2820;top:6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61" style="position:absolute;left:2790;top:795;width:121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1</w:t>
                    </w:r>
                  </w:p>
                </w:txbxContent>
              </v:textbox>
            </v:rect>
            <v:rect id="_x0000_s1062" style="position:absolute;left:2640;top:180;width:344;height:711;mso-wrap-style:none" filled="f" stroked="f">
              <v:textbox style="mso-fit-shape-to-text:t" inset="0,0,0,0">
                <w:txbxContent>
                  <w:p w:rsidR="000B64A1" w:rsidRPr="004446DD" w:rsidRDefault="000B64A1" w:rsidP="000B64A1">
                    <w:r>
                      <w:rPr>
                        <w:b/>
                        <w:bCs/>
                        <w:color w:val="000000"/>
                        <w:sz w:val="58"/>
                        <w:szCs w:val="58"/>
                        <w:lang w:val="en-US"/>
                      </w:rPr>
                      <w:sym w:font="Symbol" w:char="F053"/>
                    </w:r>
                  </w:p>
                </w:txbxContent>
              </v:textbox>
            </v:rect>
            <v:rect id="_x0000_s1063" style="position:absolute;left:3075;top:375;width:365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ЭР</w:t>
                    </w:r>
                  </w:p>
                </w:txbxContent>
              </v:textbox>
            </v:rect>
            <v:rect id="_x0000_s1064" style="position:absolute;left:3435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5" style="position:absolute;left:3570;top:525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66" style="position:absolute;left:3660;top:525;width:129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color w:val="000000"/>
                        <w:lang w:val="en-US"/>
                      </w:rPr>
                      <w:t>п</w:t>
                    </w:r>
                    <w:proofErr w:type="gramEnd"/>
                  </w:p>
                </w:txbxContent>
              </v:textbox>
            </v:rect>
            <v:rect id="_x0000_s1067" style="position:absolute;left:3765;top:375;width:151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*</w:t>
                    </w:r>
                  </w:p>
                </w:txbxContent>
              </v:textbox>
            </v:rect>
            <v:rect id="_x0000_s1068" style="position:absolute;left:3900;top:375;width:147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k</w:t>
                    </w:r>
                    <w:proofErr w:type="gramEnd"/>
                  </w:p>
                </w:txbxContent>
              </v:textbox>
            </v:rect>
            <v:rect id="_x0000_s1069" style="position:absolute;left:4050;top:510;width:67;height:276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v:rect id="_x0000_s1070" style="position:absolute;left:4140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r>
                      <w:rPr>
                        <w:color w:val="000000"/>
                        <w:sz w:val="30"/>
                        <w:szCs w:val="30"/>
                        <w:lang w:val="en-US"/>
                      </w:rPr>
                      <w:t>/</w:t>
                    </w:r>
                  </w:p>
                </w:txbxContent>
              </v:textbox>
            </v:rect>
            <v:rect id="_x0000_s1071" style="position:absolute;left:4305;top:375;width:84;height:345;mso-wrap-style:none" filled="f" stroked="f">
              <v:textbox style="mso-fit-shape-to-text:t" inset="0,0,0,0">
                <w:txbxContent>
                  <w:p w:rsidR="000B64A1" w:rsidRDefault="000B64A1" w:rsidP="000B64A1">
                    <w:proofErr w:type="gramStart"/>
                    <w:r>
                      <w:rPr>
                        <w:i/>
                        <w:iCs/>
                        <w:color w:val="000000"/>
                        <w:sz w:val="30"/>
                        <w:szCs w:val="30"/>
                        <w:lang w:val="en-US"/>
                      </w:rPr>
                      <w:t>j</w:t>
                    </w:r>
                    <w:proofErr w:type="gramEnd"/>
                  </w:p>
                </w:txbxContent>
              </v:textbox>
            </v:rect>
            <w10:anchorlock/>
          </v:group>
        </w:pic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федерального, краевого бюджетов (кассового исполнения) на реализацию j-ой подпрограммы в отчетном году;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D2A8B">
        <w:rPr>
          <w:rFonts w:ascii="Times New Roman" w:hAnsi="Times New Roman" w:cs="Times New Roman"/>
          <w:sz w:val="28"/>
          <w:szCs w:val="28"/>
        </w:rPr>
        <w:t xml:space="preserve">Ф - объем фактических расходов из средств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района, в том числе источником финансирования которых являются межбюджетные трансферты из </w:t>
      </w:r>
      <w:r w:rsidRPr="00ED2A8B">
        <w:rPr>
          <w:rFonts w:ascii="Times New Roman" w:hAnsi="Times New Roman" w:cs="Times New Roman"/>
          <w:sz w:val="28"/>
          <w:szCs w:val="28"/>
        </w:rPr>
        <w:lastRenderedPageBreak/>
        <w:t>федерального, краевого бюджетов (кассового исполнения) на реализацию муниципальной программы.</w:t>
      </w:r>
      <w:proofErr w:type="gramEnd"/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8.1.3. В случае если муниципальная программа сформирована из подпрограмм и основных мероприятий, эффективность ее реализации рассчитывается в зависимости от значений оценки степени достижения целей и решения задач муниципальной программы, оценки эффективности реализации входящих в нее подпрограмм и оценки эффективности использования финансовых ресурсов на реализацию основных мероприятий муниципальной программы по следующей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494506" w:rsidP="000B64A1">
      <w:pPr>
        <w:pStyle w:val="ConsPlusNormal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A195D">
        <w:rPr>
          <w:rFonts w:ascii="Times New Roman" w:hAnsi="Times New Roman" w:cs="Times New Roman"/>
          <w:sz w:val="28"/>
          <w:szCs w:val="28"/>
        </w:rPr>
        <w:pict>
          <v:shape id="_x0000_i1030" type="#_x0000_t75" style="width:267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val=&quot;full-page&quot; w:percent=&quot;99&quot;/&gt;&lt;w:displayBackgroundShape/&gt;&lt;w:stylePaneFormatFilter w:val=&quot;0000&quot;/&gt;&lt;w:defaultTabStop w:val=&quot;708&quot;/&gt;&lt;w:defaultTableStyle w:sti=&quot;0&quot; w:val=&quot;РћР±С‹С‡РЅС‹Р№&quot;/&gt;&lt;w:drawingGridHorizontalSpacing w:val=&quot;120&quot;/&gt;&lt;w:drawingGridVerticalSpacing w:val=&quot;0&quot;/&gt;&lt;w:displayHorizontalDrawingGridEvery w:val=&quot;0&quot;/&gt;&lt;w:displayVerticalDrawingGridEvery w:val=&quot;0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useWord2002TableStyleRules/&gt;&lt;/w:compat&gt;&lt;wsp:rsids&gt;&lt;wsp:rsidRoot wsp:val=&quot;00C533F7&quot;/&gt;&lt;wsp:rsid wsp:val=&quot;00000015&quot;/&gt;&lt;wsp:rsid wsp:val=&quot;000023CF&quot;/&gt;&lt;wsp:rsid wsp:val=&quot;000260A5&quot;/&gt;&lt;wsp:rsid wsp:val=&quot;00032E4C&quot;/&gt;&lt;wsp:rsid wsp:val=&quot;00033B5F&quot;/&gt;&lt;wsp:rsid wsp:val=&quot;00034A16&quot;/&gt;&lt;wsp:rsid wsp:val=&quot;00040116&quot;/&gt;&lt;wsp:rsid wsp:val=&quot;0004271A&quot;/&gt;&lt;wsp:rsid wsp:val=&quot;00042A08&quot;/&gt;&lt;wsp:rsid wsp:val=&quot;000508C0&quot;/&gt;&lt;wsp:rsid wsp:val=&quot;0005365A&quot;/&gt;&lt;wsp:rsid wsp:val=&quot;000549CF&quot;/&gt;&lt;wsp:rsid wsp:val=&quot;00054AC9&quot;/&gt;&lt;wsp:rsid wsp:val=&quot;00057E11&quot;/&gt;&lt;wsp:rsid wsp:val=&quot;0006612C&quot;/&gt;&lt;wsp:rsid wsp:val=&quot;0006675A&quot;/&gt;&lt;wsp:rsid wsp:val=&quot;00066DAF&quot;/&gt;&lt;wsp:rsid wsp:val=&quot;00083750&quot;/&gt;&lt;wsp:rsid wsp:val=&quot;000C1E05&quot;/&gt;&lt;wsp:rsid wsp:val=&quot;000C3D45&quot;/&gt;&lt;wsp:rsid wsp:val=&quot;000C49D0&quot;/&gt;&lt;wsp:rsid wsp:val=&quot;000C79BB&quot;/&gt;&lt;wsp:rsid wsp:val=&quot;000D527D&quot;/&gt;&lt;wsp:rsid wsp:val=&quot;000F2FCB&quot;/&gt;&lt;wsp:rsid wsp:val=&quot;000F4C72&quot;/&gt;&lt;wsp:rsid wsp:val=&quot;00115223&quot;/&gt;&lt;wsp:rsid wsp:val=&quot;00150545&quot;/&gt;&lt;wsp:rsid wsp:val=&quot;0016534F&quot;/&gt;&lt;wsp:rsid wsp:val=&quot;0016722C&quot;/&gt;&lt;wsp:rsid wsp:val=&quot;00174B9B&quot;/&gt;&lt;wsp:rsid wsp:val=&quot;00180D91&quot;/&gt;&lt;wsp:rsid wsp:val=&quot;001A0F9B&quot;/&gt;&lt;wsp:rsid wsp:val=&quot;001A1C24&quot;/&gt;&lt;wsp:rsid wsp:val=&quot;001B3839&quot;/&gt;&lt;wsp:rsid wsp:val=&quot;001B6A7A&quot;/&gt;&lt;wsp:rsid wsp:val=&quot;001D1E96&quot;/&gt;&lt;wsp:rsid wsp:val=&quot;002014C4&quot;/&gt;&lt;wsp:rsid wsp:val=&quot;00201849&quot;/&gt;&lt;wsp:rsid wsp:val=&quot;00202654&quot;/&gt;&lt;wsp:rsid wsp:val=&quot;00212F53&quot;/&gt;&lt;wsp:rsid wsp:val=&quot;002155B0&quot;/&gt;&lt;wsp:rsid wsp:val=&quot;00217459&quot;/&gt;&lt;wsp:rsid wsp:val=&quot;002369F1&quot;/&gt;&lt;wsp:rsid wsp:val=&quot;00262983&quot;/&gt;&lt;wsp:rsid wsp:val=&quot;0027090C&quot;/&gt;&lt;wsp:rsid wsp:val=&quot;00273C76&quot;/&gt;&lt;wsp:rsid wsp:val=&quot;00276BF5&quot;/&gt;&lt;wsp:rsid wsp:val=&quot;002B1BCC&quot;/&gt;&lt;wsp:rsid wsp:val=&quot;002B509A&quot;/&gt;&lt;wsp:rsid wsp:val=&quot;002D3814&quot;/&gt;&lt;wsp:rsid wsp:val=&quot;00303D5B&quot;/&gt;&lt;wsp:rsid wsp:val=&quot;00312212&quot;/&gt;&lt;wsp:rsid wsp:val=&quot;00315559&quot;/&gt;&lt;wsp:rsid wsp:val=&quot;0032323E&quot;/&gt;&lt;wsp:rsid wsp:val=&quot;00341CB9&quot;/&gt;&lt;wsp:rsid wsp:val=&quot;00350712&quot;/&gt;&lt;wsp:rsid wsp:val=&quot;00362E22&quot;/&gt;&lt;wsp:rsid wsp:val=&quot;00370BDA&quot;/&gt;&lt;wsp:rsid wsp:val=&quot;003A12B5&quot;/&gt;&lt;wsp:rsid wsp:val=&quot;003A45B4&quot;/&gt;&lt;wsp:rsid wsp:val=&quot;003B039E&quot;/&gt;&lt;wsp:rsid wsp:val=&quot;003D48F3&quot;/&gt;&lt;wsp:rsid wsp:val=&quot;003F1295&quot;/&gt;&lt;wsp:rsid wsp:val=&quot;003F76A0&quot;/&gt;&lt;wsp:rsid wsp:val=&quot;004053ED&quot;/&gt;&lt;wsp:rsid wsp:val=&quot;004139FB&quot;/&gt;&lt;wsp:rsid wsp:val=&quot;00413D7E&quot;/&gt;&lt;wsp:rsid wsp:val=&quot;00414AB5&quot;/&gt;&lt;wsp:rsid wsp:val=&quot;00445B2C&quot;/&gt;&lt;wsp:rsid wsp:val=&quot;0045662D&quot;/&gt;&lt;wsp:rsid wsp:val=&quot;004739AB&quot;/&gt;&lt;wsp:rsid wsp:val=&quot;0048607A&quot;/&gt;&lt;wsp:rsid wsp:val=&quot;004D420A&quot;/&gt;&lt;wsp:rsid wsp:val=&quot;004F02EC&quot;/&gt;&lt;wsp:rsid wsp:val=&quot;004F093D&quot;/&gt;&lt;wsp:rsid wsp:val=&quot;005053E6&quot;/&gt;&lt;wsp:rsid wsp:val=&quot;0050558B&quot;/&gt;&lt;wsp:rsid wsp:val=&quot;00513EA4&quot;/&gt;&lt;wsp:rsid wsp:val=&quot;0051546F&quot;/&gt;&lt;wsp:rsid wsp:val=&quot;005233ED&quot;/&gt;&lt;wsp:rsid wsp:val=&quot;00560793&quot;/&gt;&lt;wsp:rsid wsp:val=&quot;00570C7F&quot;/&gt;&lt;wsp:rsid wsp:val=&quot;005A64D4&quot;/&gt;&lt;wsp:rsid wsp:val=&quot;005A7F2E&quot;/&gt;&lt;wsp:rsid wsp:val=&quot;005E6DE3&quot;/&gt;&lt;wsp:rsid wsp:val=&quot;005F7044&quot;/&gt;&lt;wsp:rsid wsp:val=&quot;00605070&quot;/&gt;&lt;wsp:rsid wsp:val=&quot;00636011&quot;/&gt;&lt;wsp:rsid wsp:val=&quot;00656BAF&quot;/&gt;&lt;wsp:rsid wsp:val=&quot;00672900&quot;/&gt;&lt;wsp:rsid wsp:val=&quot;00672E7C&quot;/&gt;&lt;wsp:rsid wsp:val=&quot;00682434&quot;/&gt;&lt;wsp:rsid wsp:val=&quot;0068624B&quot;/&gt;&lt;wsp:rsid wsp:val=&quot;006A2263&quot;/&gt;&lt;wsp:rsid wsp:val=&quot;006B1693&quot;/&gt;&lt;wsp:rsid wsp:val=&quot;006C79C5&quot;/&gt;&lt;wsp:rsid wsp:val=&quot;006D78DF&quot;/&gt;&lt;wsp:rsid wsp:val=&quot;006E09BF&quot;/&gt;&lt;wsp:rsid wsp:val=&quot;006E5C6A&quot;/&gt;&lt;wsp:rsid wsp:val=&quot;006F4AB4&quot;/&gt;&lt;wsp:rsid wsp:val=&quot;007134F0&quot;/&gt;&lt;wsp:rsid wsp:val=&quot;0071420E&quot;/&gt;&lt;wsp:rsid wsp:val=&quot;00724134&quot;/&gt;&lt;wsp:rsid wsp:val=&quot;00725444&quot;/&gt;&lt;wsp:rsid wsp:val=&quot;00725827&quot;/&gt;&lt;wsp:rsid wsp:val=&quot;007312DF&quot;/&gt;&lt;wsp:rsid wsp:val=&quot;00746F9B&quot;/&gt;&lt;wsp:rsid wsp:val=&quot;007547AD&quot;/&gt;&lt;wsp:rsid wsp:val=&quot;00755E9A&quot;/&gt;&lt;wsp:rsid wsp:val=&quot;0075610A&quot;/&gt;&lt;wsp:rsid wsp:val=&quot;00766B3A&quot;/&gt;&lt;wsp:rsid wsp:val=&quot;00781CC1&quot;/&gt;&lt;wsp:rsid wsp:val=&quot;00797106&quot;/&gt;&lt;wsp:rsid wsp:val=&quot;007A190D&quot;/&gt;&lt;wsp:rsid wsp:val=&quot;007B3E70&quot;/&gt;&lt;wsp:rsid wsp:val=&quot;007C291A&quot;/&gt;&lt;wsp:rsid wsp:val=&quot;007C7B76&quot;/&gt;&lt;wsp:rsid wsp:val=&quot;007D56C2&quot;/&gt;&lt;wsp:rsid wsp:val=&quot;007E70FC&quot;/&gt;&lt;wsp:rsid wsp:val=&quot;007F3101&quot;/&gt;&lt;wsp:rsid wsp:val=&quot;007F54D1&quot;/&gt;&lt;wsp:rsid wsp:val=&quot;008111FC&quot;/&gt;&lt;wsp:rsid wsp:val=&quot;0081410A&quot;/&gt;&lt;wsp:rsid wsp:val=&quot;00814465&quot;/&gt;&lt;wsp:rsid wsp:val=&quot;00820222&quot;/&gt;&lt;wsp:rsid wsp:val=&quot;00822E4A&quot;/&gt;&lt;wsp:rsid wsp:val=&quot;0082626C&quot;/&gt;&lt;wsp:rsid wsp:val=&quot;008747AE&quot;/&gt;&lt;wsp:rsid wsp:val=&quot;00880A13&quot;/&gt;&lt;wsp:rsid wsp:val=&quot;00886A6E&quot;/&gt;&lt;wsp:rsid wsp:val=&quot;008A6A82&quot;/&gt;&lt;wsp:rsid wsp:val=&quot;008D39B1&quot;/&gt;&lt;wsp:rsid wsp:val=&quot;008E04DE&quot;/&gt;&lt;wsp:rsid wsp:val=&quot;008E0632&quot;/&gt;&lt;wsp:rsid wsp:val=&quot;008E7A90&quot;/&gt;&lt;wsp:rsid wsp:val=&quot;008F3A18&quot;/&gt;&lt;wsp:rsid wsp:val=&quot;008F44E8&quot;/&gt;&lt;wsp:rsid wsp:val=&quot;009005A4&quot;/&gt;&lt;wsp:rsid wsp:val=&quot;009048C4&quot;/&gt;&lt;wsp:rsid wsp:val=&quot;00930AE2&quot;/&gt;&lt;wsp:rsid wsp:val=&quot;0093246F&quot;/&gt;&lt;wsp:rsid wsp:val=&quot;00936CA6&quot;/&gt;&lt;wsp:rsid wsp:val=&quot;00953264&quot;/&gt;&lt;wsp:rsid wsp:val=&quot;00963DAF&quot;/&gt;&lt;wsp:rsid wsp:val=&quot;00976F46&quot;/&gt;&lt;wsp:rsid wsp:val=&quot;009926CE&quot;/&gt;&lt;wsp:rsid wsp:val=&quot;00994D3F&quot;/&gt;&lt;wsp:rsid wsp:val=&quot;00995D18&quot;/&gt;&lt;wsp:rsid wsp:val=&quot;00997101&quot;/&gt;&lt;wsp:rsid wsp:val=&quot;009B6184&quot;/&gt;&lt;wsp:rsid wsp:val=&quot;009D79ED&quot;/&gt;&lt;wsp:rsid wsp:val=&quot;009E12AC&quot;/&gt;&lt;wsp:rsid wsp:val=&quot;009E1F0F&quot;/&gt;&lt;wsp:rsid wsp:val=&quot;009E2172&quot;/&gt;&lt;wsp:rsid wsp:val=&quot;009F47B0&quot;/&gt;&lt;wsp:rsid wsp:val=&quot;00A07940&quot;/&gt;&lt;wsp:rsid wsp:val=&quot;00A25BD0&quot;/&gt;&lt;wsp:rsid wsp:val=&quot;00A57B16&quot;/&gt;&lt;wsp:rsid wsp:val=&quot;00A6035C&quot;/&gt;&lt;wsp:rsid wsp:val=&quot;00A923B0&quot;/&gt;&lt;wsp:rsid wsp:val=&quot;00A94D52&quot;/&gt;&lt;wsp:rsid wsp:val=&quot;00AA38B5&quot;/&gt;&lt;wsp:rsid wsp:val=&quot;00AC0B70&quot;/&gt;&lt;wsp:rsid wsp:val=&quot;00AD234C&quot;/&gt;&lt;wsp:rsid wsp:val=&quot;00AD3622&quot;/&gt;&lt;wsp:rsid wsp:val=&quot;00AE7959&quot;/&gt;&lt;wsp:rsid wsp:val=&quot;00AF5DB1&quot;/&gt;&lt;wsp:rsid wsp:val=&quot;00B03482&quot;/&gt;&lt;wsp:rsid wsp:val=&quot;00B12260&quot;/&gt;&lt;wsp:rsid wsp:val=&quot;00B40596&quot;/&gt;&lt;wsp:rsid wsp:val=&quot;00B74EE5&quot;/&gt;&lt;wsp:rsid wsp:val=&quot;00B75775&quot;/&gt;&lt;wsp:rsid wsp:val=&quot;00BA2D67&quot;/&gt;&lt;wsp:rsid wsp:val=&quot;00BA56DB&quot;/&gt;&lt;wsp:rsid wsp:val=&quot;00BB7997&quot;/&gt;&lt;wsp:rsid wsp:val=&quot;00BC4F9D&quot;/&gt;&lt;wsp:rsid wsp:val=&quot;00BD39B3&quot;/&gt;&lt;wsp:rsid wsp:val=&quot;00BF02DD&quot;/&gt;&lt;wsp:rsid wsp:val=&quot;00BF710A&quot;/&gt;&lt;wsp:rsid wsp:val=&quot;00C05246&quot;/&gt;&lt;wsp:rsid wsp:val=&quot;00C404C4&quot;/&gt;&lt;wsp:rsid wsp:val=&quot;00C421DB&quot;/&gt;&lt;wsp:rsid wsp:val=&quot;00C517C8&quot;/&gt;&lt;wsp:rsid wsp:val=&quot;00C533F7&quot;/&gt;&lt;wsp:rsid wsp:val=&quot;00C6231B&quot;/&gt;&lt;wsp:rsid wsp:val=&quot;00C80A44&quot;/&gt;&lt;wsp:rsid wsp:val=&quot;00C849E6&quot;/&gt;&lt;wsp:rsid wsp:val=&quot;00CA0D32&quot;/&gt;&lt;wsp:rsid wsp:val=&quot;00CA7F8F&quot;/&gt;&lt;wsp:rsid wsp:val=&quot;00CB2AE7&quot;/&gt;&lt;wsp:rsid wsp:val=&quot;00CC0E9D&quot;/&gt;&lt;wsp:rsid wsp:val=&quot;00CD073D&quot;/&gt;&lt;wsp:rsid wsp:val=&quot;00CD48A5&quot;/&gt;&lt;wsp:rsid wsp:val=&quot;00CD59F3&quot;/&gt;&lt;wsp:rsid wsp:val=&quot;00CE26EA&quot;/&gt;&lt;wsp:rsid wsp:val=&quot;00D01428&quot;/&gt;&lt;wsp:rsid wsp:val=&quot;00D053BE&quot;/&gt;&lt;wsp:rsid wsp:val=&quot;00D44D03&quot;/&gt;&lt;wsp:rsid wsp:val=&quot;00D7134E&quot;/&gt;&lt;wsp:rsid wsp:val=&quot;00D85928&quot;/&gt;&lt;wsp:rsid wsp:val=&quot;00D86544&quot;/&gt;&lt;wsp:rsid wsp:val=&quot;00DA33B0&quot;/&gt;&lt;wsp:rsid wsp:val=&quot;00DB0954&quot;/&gt;&lt;wsp:rsid wsp:val=&quot;00DB7C86&quot;/&gt;&lt;wsp:rsid wsp:val=&quot;00DD3A7B&quot;/&gt;&lt;wsp:rsid wsp:val=&quot;00DE2EFF&quot;/&gt;&lt;wsp:rsid wsp:val=&quot;00DF60D9&quot;/&gt;&lt;wsp:rsid wsp:val=&quot;00E02C50&quot;/&gt;&lt;wsp:rsid wsp:val=&quot;00E11B12&quot;/&gt;&lt;wsp:rsid wsp:val=&quot;00E17154&quot;/&gt;&lt;wsp:rsid wsp:val=&quot;00E213B8&quot;/&gt;&lt;wsp:rsid wsp:val=&quot;00E22B60&quot;/&gt;&lt;wsp:rsid wsp:val=&quot;00E246E8&quot;/&gt;&lt;wsp:rsid wsp:val=&quot;00E30E70&quot;/&gt;&lt;wsp:rsid wsp:val=&quot;00E538C7&quot;/&gt;&lt;wsp:rsid wsp:val=&quot;00E7103B&quot;/&gt;&lt;wsp:rsid wsp:val=&quot;00E8231D&quot;/&gt;&lt;wsp:rsid wsp:val=&quot;00E84BB6&quot;/&gt;&lt;wsp:rsid wsp:val=&quot;00E94AAE&quot;/&gt;&lt;wsp:rsid wsp:val=&quot;00EB39DD&quot;/&gt;&lt;wsp:rsid wsp:val=&quot;00ED2A8B&quot;/&gt;&lt;wsp:rsid wsp:val=&quot;00ED63BC&quot;/&gt;&lt;wsp:rsid wsp:val=&quot;00ED7E13&quot;/&gt;&lt;wsp:rsid wsp:val=&quot;00F019F7&quot;/&gt;&lt;wsp:rsid wsp:val=&quot;00F1408B&quot;/&gt;&lt;wsp:rsid wsp:val=&quot;00F17BF2&quot;/&gt;&lt;wsp:rsid wsp:val=&quot;00F221B8&quot;/&gt;&lt;wsp:rsid wsp:val=&quot;00F71206&quot;/&gt;&lt;wsp:rsid wsp:val=&quot;00F73E18&quot;/&gt;&lt;wsp:rsid wsp:val=&quot;00F756B7&quot;/&gt;&lt;wsp:rsid wsp:val=&quot;00FB5831&quot;/&gt;&lt;wsp:rsid wsp:val=&quot;00FC0FA0&quot;/&gt;&lt;wsp:rsid wsp:val=&quot;00FC6151&quot;/&gt;&lt;wsp:rsid wsp:val=&quot;00FE1E29&quot;/&gt;&lt;/wsp:rsids&gt;&lt;/w:docPr&gt;&lt;w:body&gt;&lt;w:p wsp:rsidR=&quot;00000000&quot; wsp:rsidRDefault=&quot;00570C7F&quot;&gt;&lt;m:oMathPara&gt;&lt;m:oMath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­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=&lt;/m:t&gt;&lt;/m:r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ЎР &lt;/m:t&gt;&lt;/m:r&gt;&lt;/m:e&gt;&lt;m:sub&gt;&lt;m:r&gt;&lt;w:rPr&gt;&lt;w:rFonts w:ascii=&quot;Cambria Math&quot; w:h-ansi=&quot;Cambria Math&quot;/&gt;&lt;wx:font wx:val=&quot;Cambria Math&quot;/&gt;&lt;w:i/&gt;&lt;/w:rPr&gt;&lt;m:t&gt;РјРї&lt;/m:t&gt;&lt;/m:r&gt;&lt;/m:sub&gt;&lt;/m:sSub&gt;&lt;m:r&gt;&lt;w:rPr&gt;&lt;w:rFonts w:ascii=&quot;Cambria Math&quot; w:h-ansi=&quot;Cambria Math&quot;/&gt;&lt;wx:font wx:val=&quot;Cambria Math&quot;/&gt;&lt;w:i/&gt;&lt;/w:rPr&gt;&lt;m:t&gt;Г—0,5+&lt;/m:t&gt;&lt;/m:r&gt;&lt;m:nary&gt;&lt;m:naryPr&gt;&lt;m:chr m:val=&quot;в€‘&quot;/&gt;&lt;m:limLoc m:val=&quot;undOvr&quot;/&gt;&lt;m:ctrlPr&gt;&lt;w:rPr&gt;&lt;w:rFonts w:ascii=&quot;Cambria Math&quot; w:h-ansi=&quot;Cambria Math&quot;/&gt;&lt;wx:font wx:val=&quot;Cambria Math&quot;/&gt;&lt;w:i/&gt;&lt;/w:rPr&gt;&lt;/m:ctrlPr&gt;&lt;/m:naryPr&gt;&lt;m:sub&gt;&lt;m:r&gt;&lt;w:rPr&gt;&lt;w:rFonts w:ascii=&quot;Cambria Math&quot; w:h-ansi=&quot;Cambria Math&quot;/&gt;&lt;wx:font wx:val=&quot;Cambria Math&quot;/&gt;&lt;w:i/&gt;&lt;/w:rPr&gt;&lt;m:t&gt;1&lt;/m:t&gt;&lt;/m:r&gt;&lt;/m:sub&gt;&lt;m:sup&gt;&lt;m:r&gt;&lt;w:rPr&gt;&lt;w:rFonts w:ascii=&quot;Cambria Math&quot; w:h-ansi=&quot;Cambria Math&quot;/&gt;&lt;wx:font wx:val=&quot;Cambria Math&quot;/&gt;&lt;w:i/&gt;&lt;/w:rPr&gt;&lt;m:t&gt;j&lt;/m:t&gt;&lt;/m:r&gt;&lt;/m:sup&gt;&lt;m:e&gt;&lt;m:r&gt;&lt;w:rPr&gt;&lt;w:rFonts w:ascii=&quot;Cambria Math&quot; w:h-ansi=&quot;Cambria Math&quot;/&gt;&lt;wx:font wx:val=&quot;Cambria Math&quot;/&gt;&lt;w:i/&gt;&lt;/w:rPr&gt;&lt;m:t&gt;Р­&lt;/m:t&gt;&lt;/m:r&gt;&lt;/m:e&gt;&lt;/m:nary&gt;&lt;m:sSub&gt;&lt;m:sSubPr&gt;&lt;m:ctrlPr&gt;&lt;w:rPr&gt;&lt;w:rFonts w:ascii=&quot;Cambria Math&quot; w:h-ansi=&quot;Cambria Math&quot;/&gt;&lt;wx:font wx:val=&quot;Cambria Math&quot;/&gt;&lt;w:i/&gt;&lt;/w:rPr&gt;&lt;/m:ctrlPr&gt;&lt;/m:sSubPr&gt;&lt;m:e&gt;&lt;m:r&gt;&lt;w:rPr&gt;&lt;w:rFonts w:ascii=&quot;Cambria Math&quot; w:h-ansi=&quot;Cambria Math&quot;/&gt;&lt;wx:font wx:val=&quot;Cambria Math&quot;/&gt;&lt;w:i/&gt;&lt;/w:rPr&gt;&lt;m:t&gt;Р &lt;/m:t&gt;&lt;/m:r&gt;&lt;/m:e&gt;&lt;m:sub&gt;&lt;m:r&gt;&lt;w:rPr&gt;&lt;w:rFonts w:ascii=&quot;Cambria Math&quot; w:h-ansi=&quot;Cambria Math&quot;/&gt;&lt;wx:font wx:val=&quot;Cambria Math&quot;/&gt;&lt;w:i/&gt;&lt;/w:rPr&gt;&lt;m:t&gt;Рј/Рї&lt;/m:t&gt;&lt;/m:r&gt;&lt;/m:sub&gt;&lt;/m:sSub&gt;&lt;m:r&gt;&lt;w:rPr&gt;&lt;w:rFonts w:ascii=&quot;Cambria Math&quot; w:h-ansi=&quot;Cambria Math&quot;/&gt;&lt;wx:font wx:val=&quot;Cambria Math&quot;/&gt;&lt;w:i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4+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Р­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РёСЃ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k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j&lt;/m:t&gt;&lt;/m:r&gt;&lt;/m:sub&gt;&lt;/m:sSub&gt;&lt;m:r&gt;&lt;w:rPr&gt;&lt;w:rFonts w:ascii=&quot;Cambria Math&quot; w:h-ansi=&quot;Cambria Math&quot;/&gt;&lt;wx:font wx:val=&quot;Cambria Math&quot;/&gt;&lt;w:i/&gt;&lt;w:lang w:val=&quot;EN-US&quot;/&gt;&lt;/w:rPr&gt;&lt;m:t&gt;Г—0,1, &lt;/m:t&gt;&lt;/m:r&gt;&lt;m:r&gt;&lt;w:rPr&gt;&lt;w:rFonts w:ascii=&quot;Cambria Math&quot; w:h-ansi=&quot;Cambria Math&quot;/&gt;&lt;wx:font wx:val=&quot;Cambria Math&quot;/&gt;&lt;w:i/&gt;&lt;/w:rPr&gt;&lt;m:t&gt;РіРґРµ: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</w:p>
    <w:p w:rsidR="000B64A1" w:rsidRPr="00ED2A8B" w:rsidRDefault="000B64A1" w:rsidP="000B64A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СР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степень достижения целей и решения задач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/</w:t>
      </w:r>
      <w:proofErr w:type="spellStart"/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реализации подпрограммы;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ис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эффективность использования финансовых ресурсов на реализацию перечня основных мероприятий муниципальной программы, рассчитанная с учетом </w:t>
      </w:r>
      <w:hyperlink w:anchor="P1191" w:history="1">
        <w:r w:rsidRPr="00ED2A8B">
          <w:rPr>
            <w:rFonts w:ascii="Times New Roman" w:hAnsi="Times New Roman" w:cs="Times New Roman"/>
            <w:sz w:val="28"/>
            <w:szCs w:val="28"/>
          </w:rPr>
          <w:t>раздела 4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настоящей Типовой методики;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коэффициент значимости подпрограммы (перечня основных мероприятий) для достижения целей муниципальной программы, определяемый по формуле: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k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proofErr w:type="gramStart"/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/ Ф, где: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Ф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- объем фактических расходов из средств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j-й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подпрограммы (перечня основных мероприятий) в отчетном году;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 - объем фактических расходов из сре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дств кр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аевого бюджета, в том числе источником финансирования которых являются межбюджетные трансферты из федерального бюджета, бюджета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Ахтанизовского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 (кассового исполнения) на реализацию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8.2. Эффективность реализации муниципальной программы признается высокой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0,9.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0,8.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D2A8B">
        <w:rPr>
          <w:rFonts w:ascii="Times New Roman" w:hAnsi="Times New Roman" w:cs="Times New Roman"/>
          <w:sz w:val="28"/>
          <w:szCs w:val="28"/>
        </w:rPr>
        <w:t>ЭР</w:t>
      </w:r>
      <w:r w:rsidRPr="00ED2A8B">
        <w:rPr>
          <w:rFonts w:ascii="Times New Roman" w:hAnsi="Times New Roman" w:cs="Times New Roman"/>
          <w:sz w:val="28"/>
          <w:szCs w:val="28"/>
          <w:vertAlign w:val="subscript"/>
        </w:rPr>
        <w:t>мп</w:t>
      </w:r>
      <w:proofErr w:type="spellEnd"/>
      <w:r w:rsidRPr="00ED2A8B">
        <w:rPr>
          <w:rFonts w:ascii="Times New Roman" w:hAnsi="Times New Roman" w:cs="Times New Roman"/>
          <w:sz w:val="28"/>
          <w:szCs w:val="28"/>
        </w:rPr>
        <w:t xml:space="preserve"> составляет не менее 0,7.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:rsidR="000B64A1" w:rsidRPr="005E6DE3" w:rsidRDefault="000B64A1" w:rsidP="000B64A1">
      <w:pPr>
        <w:ind w:firstLine="720"/>
        <w:jc w:val="both"/>
      </w:pPr>
    </w:p>
    <w:p w:rsidR="0019052C" w:rsidRPr="005E6DE3" w:rsidRDefault="0019052C" w:rsidP="000B64A1">
      <w:pPr>
        <w:jc w:val="both"/>
      </w:pPr>
    </w:p>
    <w:p w:rsidR="000B64A1" w:rsidRPr="00ED2A8B" w:rsidRDefault="000B64A1" w:rsidP="000B64A1">
      <w:pPr>
        <w:pStyle w:val="ConsPlusTitle"/>
        <w:numPr>
          <w:ilvl w:val="0"/>
          <w:numId w:val="5"/>
        </w:numPr>
        <w:adjustRightInd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Механизм реализации муниципальной программы и контроль</w:t>
      </w:r>
    </w:p>
    <w:p w:rsidR="000B64A1" w:rsidRPr="00ED2A8B" w:rsidRDefault="000B64A1" w:rsidP="000B64A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0B64A1" w:rsidRPr="00ED2A8B" w:rsidRDefault="000B64A1" w:rsidP="000B64A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Текущее управление муниципальной программой осуществляет ее координатор, который: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обеспечивает разработку муниципальной программы,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структуру муниципальной программы и перечень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реализацию муниципальной программы, координацию деятельности координаторов подпрограмм и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принимает решение о необходимости внесения в установленном порядке изменений в муниципальную программу;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работу по достижению целевых показателей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координаторов подпрограмм, участников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разрабатывает формы отчетности для координаторов подпрограмм и участников муниципальной программы, необходимые для осуществления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выполнением муниципальной программы, устанавливает сроки их представления;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мониторинг реализации муниципальной программы и анализ отчетности, представленной координаторами подпрограмм и участниками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- доклад о ходе реализации муниципальной программы);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сайте в информационно-телекоммуникационной сети «Интернет»;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Координатор муниципальной программы ежеквартально, до 10-го числа месяца, следующего за отчетным кварталом, представляет в управление экономики администрации муниципального образования Темрюкский район заполненные отчетные формы мониторинга реализации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lastRenderedPageBreak/>
        <w:t>Координаторы подпрограмм и участники муниципальной программы в пределах своей компетенции: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ежеквартально, до 5-го числа месяца, следующего за отчетным кварталом, представляют координатору муниципальной </w:t>
      </w:r>
      <w:proofErr w:type="gramStart"/>
      <w:r w:rsidRPr="00ED2A8B">
        <w:rPr>
          <w:rFonts w:ascii="Times New Roman" w:hAnsi="Times New Roman" w:cs="Times New Roman"/>
          <w:sz w:val="28"/>
          <w:szCs w:val="28"/>
        </w:rPr>
        <w:t>программы</w:t>
      </w:r>
      <w:proofErr w:type="gramEnd"/>
      <w:r w:rsidRPr="00ED2A8B">
        <w:rPr>
          <w:rFonts w:ascii="Times New Roman" w:hAnsi="Times New Roman" w:cs="Times New Roman"/>
          <w:sz w:val="28"/>
          <w:szCs w:val="28"/>
        </w:rPr>
        <w:t xml:space="preserve"> заполненные отчетные формы мониторинга реализации муниципальной программы;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ежегодно, до 1 февраля года, следующего за отчетным годом, представляют координатору муниципальной программы информацию, необходимую для формирования доклада о ходе реализации муниципальной программы на бумажных и электронных носителях.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Кроме того, участники муниципальной программы представляют координатору муниципальной программы значения целевых показателей в порядке и сроки, установленные координатором муниципальной программы.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Заказчик: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заключает муниципальные контракты в установленном законодательством порядке согласно Федеральному </w:t>
      </w:r>
      <w:hyperlink r:id="rId13" w:history="1">
        <w:r w:rsidRPr="00ED2A8B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проводит анализ выполнения мероприятия;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несет ответственность за нецелевое и неэффективное использование выделенных в его распоряжение бюджетных средств;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осуществляет согласование с координатором муниципальной программы (подпрограммы) возможных сроков выполнения мероприятия, предложений по объемам и источникам финансирования;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2A8B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планируется закупка товаров, работ, услуг для обеспечения муниципальных нужд в соответствии с Федеральным </w:t>
      </w:r>
      <w:hyperlink r:id="rId14" w:history="1">
        <w:r w:rsidRPr="00ED2A8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ED2A8B">
        <w:rPr>
          <w:rFonts w:ascii="Times New Roman" w:hAnsi="Times New Roman" w:cs="Times New Roman"/>
          <w:sz w:val="28"/>
          <w:szCs w:val="28"/>
        </w:rPr>
        <w:t xml:space="preserve"> от 5 апреля 2013 года № 44 - ФЗ «О контрактной системе в сфере закупок товаров, работ, услуг для обеспечения государственных и муниципальных нужд».</w:t>
      </w: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64A1" w:rsidRPr="00ED2A8B" w:rsidRDefault="000B64A1" w:rsidP="000B64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50E8" w:rsidRPr="009F3E47" w:rsidRDefault="00A150E8" w:rsidP="00A150E8">
      <w:pPr>
        <w:pStyle w:val="af3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>Начальник о</w:t>
      </w:r>
      <w:r w:rsidRPr="009F3E47">
        <w:rPr>
          <w:rFonts w:ascii="Times New Roman" w:hAnsi="Times New Roman"/>
          <w:sz w:val="28"/>
          <w:szCs w:val="28"/>
        </w:rPr>
        <w:t>тд</w:t>
      </w:r>
      <w:r>
        <w:rPr>
          <w:rFonts w:ascii="Times New Roman" w:hAnsi="Times New Roman"/>
          <w:sz w:val="28"/>
          <w:szCs w:val="28"/>
        </w:rPr>
        <w:t>ела</w:t>
      </w:r>
      <w:r w:rsidRPr="009F3E47">
        <w:rPr>
          <w:rFonts w:ascii="Times New Roman" w:hAnsi="Times New Roman"/>
          <w:sz w:val="28"/>
          <w:szCs w:val="28"/>
        </w:rPr>
        <w:t xml:space="preserve"> по вопросам </w:t>
      </w:r>
    </w:p>
    <w:p w:rsidR="00A150E8" w:rsidRPr="009F3E47" w:rsidRDefault="00A150E8" w:rsidP="00A150E8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F3E47">
        <w:rPr>
          <w:rFonts w:ascii="Times New Roman" w:hAnsi="Times New Roman"/>
          <w:sz w:val="28"/>
          <w:szCs w:val="28"/>
        </w:rPr>
        <w:t xml:space="preserve">жилищно-коммунального хозяйства, </w:t>
      </w:r>
    </w:p>
    <w:p w:rsidR="00A150E8" w:rsidRPr="009F3E47" w:rsidRDefault="00A150E8" w:rsidP="00A150E8">
      <w:pPr>
        <w:pStyle w:val="af3"/>
        <w:jc w:val="both"/>
        <w:rPr>
          <w:rFonts w:ascii="Times New Roman" w:hAnsi="Times New Roman"/>
          <w:sz w:val="28"/>
          <w:szCs w:val="28"/>
        </w:rPr>
      </w:pPr>
      <w:r w:rsidRPr="009F3E47">
        <w:rPr>
          <w:rFonts w:ascii="Times New Roman" w:hAnsi="Times New Roman"/>
          <w:sz w:val="28"/>
          <w:szCs w:val="28"/>
        </w:rPr>
        <w:t>торговли, курортной  деятельности</w:t>
      </w:r>
      <w:r w:rsidRPr="009F3E47">
        <w:rPr>
          <w:rFonts w:ascii="Times New Roman" w:hAnsi="Times New Roman"/>
          <w:sz w:val="28"/>
          <w:szCs w:val="28"/>
        </w:rPr>
        <w:tab/>
      </w:r>
    </w:p>
    <w:p w:rsidR="00A150E8" w:rsidRPr="00EE0C9B" w:rsidRDefault="00A150E8" w:rsidP="00A150E8">
      <w:pPr>
        <w:tabs>
          <w:tab w:val="center" w:pos="4677"/>
        </w:tabs>
        <w:suppressAutoHyphens/>
        <w:rPr>
          <w:sz w:val="28"/>
          <w:szCs w:val="28"/>
        </w:rPr>
      </w:pPr>
      <w:r w:rsidRPr="009F3E47">
        <w:rPr>
          <w:sz w:val="28"/>
          <w:szCs w:val="28"/>
        </w:rPr>
        <w:t>и имущественных отношений</w:t>
      </w:r>
      <w:r>
        <w:rPr>
          <w:sz w:val="28"/>
          <w:szCs w:val="28"/>
        </w:rPr>
        <w:t>,</w:t>
      </w:r>
      <w:r w:rsidRPr="00EE0C9B">
        <w:rPr>
          <w:sz w:val="28"/>
          <w:szCs w:val="28"/>
        </w:rPr>
        <w:t xml:space="preserve">  </w:t>
      </w:r>
    </w:p>
    <w:p w:rsidR="00A150E8" w:rsidRDefault="00A150E8" w:rsidP="00A150E8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                                                                                   И.В. </w:t>
      </w:r>
      <w:proofErr w:type="spellStart"/>
      <w:r>
        <w:rPr>
          <w:sz w:val="28"/>
          <w:szCs w:val="28"/>
        </w:rPr>
        <w:t>Аликина</w:t>
      </w:r>
      <w:proofErr w:type="spellEnd"/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Default="000B64A1" w:rsidP="000B64A1">
      <w:pPr>
        <w:rPr>
          <w:sz w:val="28"/>
          <w:szCs w:val="28"/>
        </w:rPr>
      </w:pPr>
    </w:p>
    <w:p w:rsidR="000B64A1" w:rsidRPr="00DE4872" w:rsidRDefault="000B64A1" w:rsidP="00DE4872">
      <w:pPr>
        <w:spacing w:line="240" w:lineRule="atLeast"/>
        <w:jc w:val="both"/>
      </w:pPr>
    </w:p>
    <w:sectPr w:rsidR="000B64A1" w:rsidRPr="00DE4872" w:rsidSect="000B64A1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339E" w:rsidRDefault="00FD339E">
      <w:r>
        <w:separator/>
      </w:r>
    </w:p>
  </w:endnote>
  <w:endnote w:type="continuationSeparator" w:id="0">
    <w:p w:rsidR="00FD339E" w:rsidRDefault="00FD33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339E" w:rsidRDefault="00FD339E">
      <w:r>
        <w:separator/>
      </w:r>
    </w:p>
  </w:footnote>
  <w:footnote w:type="continuationSeparator" w:id="0">
    <w:p w:rsidR="00FD339E" w:rsidRDefault="00FD33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157" w:rsidRDefault="001A195D" w:rsidP="004C364D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4215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94506">
      <w:rPr>
        <w:rStyle w:val="a8"/>
        <w:noProof/>
      </w:rPr>
      <w:t>14</w:t>
    </w:r>
    <w:r>
      <w:rPr>
        <w:rStyle w:val="a8"/>
      </w:rPr>
      <w:fldChar w:fldCharType="end"/>
    </w:r>
  </w:p>
  <w:p w:rsidR="00042157" w:rsidRDefault="00042157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4A1" w:rsidRDefault="001A195D">
    <w:pPr>
      <w:pStyle w:val="a6"/>
      <w:jc w:val="center"/>
    </w:pPr>
    <w:fldSimple w:instr=" PAGE   \* MERGEFORMAT ">
      <w:r w:rsidR="00494506">
        <w:rPr>
          <w:noProof/>
        </w:rPr>
        <w:t>1</w:t>
      </w:r>
    </w:fldSimple>
  </w:p>
  <w:p w:rsidR="000B64A1" w:rsidRDefault="000B64A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70FF"/>
    <w:multiLevelType w:val="hybridMultilevel"/>
    <w:tmpl w:val="C2CE018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5548A"/>
    <w:multiLevelType w:val="hybridMultilevel"/>
    <w:tmpl w:val="014C288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BCD2C93"/>
    <w:multiLevelType w:val="hybridMultilevel"/>
    <w:tmpl w:val="E2A8F2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F8C2E0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DC3"/>
    <w:rsid w:val="00010B7A"/>
    <w:rsid w:val="00013BA7"/>
    <w:rsid w:val="000353FC"/>
    <w:rsid w:val="000359F2"/>
    <w:rsid w:val="000409BD"/>
    <w:rsid w:val="00042157"/>
    <w:rsid w:val="00045672"/>
    <w:rsid w:val="0004682D"/>
    <w:rsid w:val="000620D2"/>
    <w:rsid w:val="00074972"/>
    <w:rsid w:val="00082B5F"/>
    <w:rsid w:val="0009527C"/>
    <w:rsid w:val="000A391E"/>
    <w:rsid w:val="000B1E06"/>
    <w:rsid w:val="000B2C42"/>
    <w:rsid w:val="000B43FE"/>
    <w:rsid w:val="000B64A1"/>
    <w:rsid w:val="000C7168"/>
    <w:rsid w:val="000D4797"/>
    <w:rsid w:val="0010014A"/>
    <w:rsid w:val="0011657B"/>
    <w:rsid w:val="001211B7"/>
    <w:rsid w:val="001262FF"/>
    <w:rsid w:val="00127563"/>
    <w:rsid w:val="00153FED"/>
    <w:rsid w:val="001638EB"/>
    <w:rsid w:val="00175338"/>
    <w:rsid w:val="00177A57"/>
    <w:rsid w:val="0019052C"/>
    <w:rsid w:val="001A195D"/>
    <w:rsid w:val="001A4969"/>
    <w:rsid w:val="001B10F3"/>
    <w:rsid w:val="001B7EA2"/>
    <w:rsid w:val="001C5A2A"/>
    <w:rsid w:val="001D3049"/>
    <w:rsid w:val="00205A31"/>
    <w:rsid w:val="002246B7"/>
    <w:rsid w:val="00231598"/>
    <w:rsid w:val="00245918"/>
    <w:rsid w:val="0025434B"/>
    <w:rsid w:val="00263054"/>
    <w:rsid w:val="0026387C"/>
    <w:rsid w:val="00267F7F"/>
    <w:rsid w:val="0028317D"/>
    <w:rsid w:val="002A1ED2"/>
    <w:rsid w:val="002C2F21"/>
    <w:rsid w:val="002C464D"/>
    <w:rsid w:val="002D576C"/>
    <w:rsid w:val="002D7163"/>
    <w:rsid w:val="002E1672"/>
    <w:rsid w:val="002F15A1"/>
    <w:rsid w:val="002F3764"/>
    <w:rsid w:val="00306A41"/>
    <w:rsid w:val="003371C7"/>
    <w:rsid w:val="00353438"/>
    <w:rsid w:val="00371E4C"/>
    <w:rsid w:val="00372CE0"/>
    <w:rsid w:val="003E523A"/>
    <w:rsid w:val="003E7151"/>
    <w:rsid w:val="003F5F69"/>
    <w:rsid w:val="004034E3"/>
    <w:rsid w:val="00414F2E"/>
    <w:rsid w:val="004216C7"/>
    <w:rsid w:val="00433654"/>
    <w:rsid w:val="00434131"/>
    <w:rsid w:val="00440EBA"/>
    <w:rsid w:val="00441584"/>
    <w:rsid w:val="004435E3"/>
    <w:rsid w:val="00445DD1"/>
    <w:rsid w:val="0044659A"/>
    <w:rsid w:val="00447642"/>
    <w:rsid w:val="004524DD"/>
    <w:rsid w:val="00467A32"/>
    <w:rsid w:val="004746DB"/>
    <w:rsid w:val="00475C77"/>
    <w:rsid w:val="00482A93"/>
    <w:rsid w:val="004839A6"/>
    <w:rsid w:val="00483B04"/>
    <w:rsid w:val="00485649"/>
    <w:rsid w:val="004909E2"/>
    <w:rsid w:val="00494506"/>
    <w:rsid w:val="00496665"/>
    <w:rsid w:val="004A5E94"/>
    <w:rsid w:val="004B2921"/>
    <w:rsid w:val="004B483E"/>
    <w:rsid w:val="004B6730"/>
    <w:rsid w:val="004C01F6"/>
    <w:rsid w:val="004C364D"/>
    <w:rsid w:val="004F33BC"/>
    <w:rsid w:val="004F479C"/>
    <w:rsid w:val="00513A79"/>
    <w:rsid w:val="00514187"/>
    <w:rsid w:val="0051694D"/>
    <w:rsid w:val="00516A16"/>
    <w:rsid w:val="00525D57"/>
    <w:rsid w:val="00526F87"/>
    <w:rsid w:val="005315D2"/>
    <w:rsid w:val="00535879"/>
    <w:rsid w:val="00540585"/>
    <w:rsid w:val="00575BAC"/>
    <w:rsid w:val="00585C4A"/>
    <w:rsid w:val="005C1213"/>
    <w:rsid w:val="005C73F4"/>
    <w:rsid w:val="005D6BEE"/>
    <w:rsid w:val="005E2293"/>
    <w:rsid w:val="005F5892"/>
    <w:rsid w:val="006014C2"/>
    <w:rsid w:val="0060308A"/>
    <w:rsid w:val="00611818"/>
    <w:rsid w:val="00630A54"/>
    <w:rsid w:val="00644012"/>
    <w:rsid w:val="0065248B"/>
    <w:rsid w:val="006617FD"/>
    <w:rsid w:val="0066426F"/>
    <w:rsid w:val="00677E3D"/>
    <w:rsid w:val="0068041D"/>
    <w:rsid w:val="006C215A"/>
    <w:rsid w:val="006E55CE"/>
    <w:rsid w:val="006F74A3"/>
    <w:rsid w:val="00707F87"/>
    <w:rsid w:val="00720F6B"/>
    <w:rsid w:val="007217B2"/>
    <w:rsid w:val="007255F3"/>
    <w:rsid w:val="00743C91"/>
    <w:rsid w:val="007631C3"/>
    <w:rsid w:val="00763877"/>
    <w:rsid w:val="007701BB"/>
    <w:rsid w:val="00770220"/>
    <w:rsid w:val="007708BB"/>
    <w:rsid w:val="0079075C"/>
    <w:rsid w:val="007A20BF"/>
    <w:rsid w:val="007C3AE6"/>
    <w:rsid w:val="007D7478"/>
    <w:rsid w:val="007F0CC0"/>
    <w:rsid w:val="007F0DAF"/>
    <w:rsid w:val="007F2A24"/>
    <w:rsid w:val="0082205F"/>
    <w:rsid w:val="00832909"/>
    <w:rsid w:val="008421DD"/>
    <w:rsid w:val="00853D0A"/>
    <w:rsid w:val="008547B3"/>
    <w:rsid w:val="00854B45"/>
    <w:rsid w:val="00874D19"/>
    <w:rsid w:val="00884132"/>
    <w:rsid w:val="00887BF3"/>
    <w:rsid w:val="00895085"/>
    <w:rsid w:val="00896527"/>
    <w:rsid w:val="008B2485"/>
    <w:rsid w:val="008B75BD"/>
    <w:rsid w:val="008C436F"/>
    <w:rsid w:val="008D7420"/>
    <w:rsid w:val="008D765B"/>
    <w:rsid w:val="008F41AB"/>
    <w:rsid w:val="00914505"/>
    <w:rsid w:val="00926311"/>
    <w:rsid w:val="00932019"/>
    <w:rsid w:val="00937B5A"/>
    <w:rsid w:val="00946717"/>
    <w:rsid w:val="00987CD7"/>
    <w:rsid w:val="009A65F6"/>
    <w:rsid w:val="009C5AD4"/>
    <w:rsid w:val="009D216B"/>
    <w:rsid w:val="009F4C01"/>
    <w:rsid w:val="00A05E82"/>
    <w:rsid w:val="00A150E8"/>
    <w:rsid w:val="00A216EC"/>
    <w:rsid w:val="00A361CB"/>
    <w:rsid w:val="00A479B6"/>
    <w:rsid w:val="00A532A4"/>
    <w:rsid w:val="00A53D94"/>
    <w:rsid w:val="00A57420"/>
    <w:rsid w:val="00A6150F"/>
    <w:rsid w:val="00A63F46"/>
    <w:rsid w:val="00A66456"/>
    <w:rsid w:val="00AD6A84"/>
    <w:rsid w:val="00B10FDD"/>
    <w:rsid w:val="00B128BF"/>
    <w:rsid w:val="00B139DC"/>
    <w:rsid w:val="00B24346"/>
    <w:rsid w:val="00B27694"/>
    <w:rsid w:val="00B4015D"/>
    <w:rsid w:val="00B409E6"/>
    <w:rsid w:val="00B42EF3"/>
    <w:rsid w:val="00B50230"/>
    <w:rsid w:val="00B55799"/>
    <w:rsid w:val="00B741A9"/>
    <w:rsid w:val="00B8732B"/>
    <w:rsid w:val="00B90909"/>
    <w:rsid w:val="00BB3C06"/>
    <w:rsid w:val="00BC18CE"/>
    <w:rsid w:val="00BC5644"/>
    <w:rsid w:val="00BC65AB"/>
    <w:rsid w:val="00BC795D"/>
    <w:rsid w:val="00BD2886"/>
    <w:rsid w:val="00BD36DA"/>
    <w:rsid w:val="00BE7352"/>
    <w:rsid w:val="00BF2666"/>
    <w:rsid w:val="00C07957"/>
    <w:rsid w:val="00C17E19"/>
    <w:rsid w:val="00C25977"/>
    <w:rsid w:val="00C3417C"/>
    <w:rsid w:val="00C341A7"/>
    <w:rsid w:val="00C373F1"/>
    <w:rsid w:val="00C37EFE"/>
    <w:rsid w:val="00C52256"/>
    <w:rsid w:val="00C60704"/>
    <w:rsid w:val="00C64A8A"/>
    <w:rsid w:val="00C67227"/>
    <w:rsid w:val="00C71347"/>
    <w:rsid w:val="00C95FDE"/>
    <w:rsid w:val="00C97B7D"/>
    <w:rsid w:val="00CA5A94"/>
    <w:rsid w:val="00CB080D"/>
    <w:rsid w:val="00CD0236"/>
    <w:rsid w:val="00CF0FDA"/>
    <w:rsid w:val="00D10024"/>
    <w:rsid w:val="00D14A19"/>
    <w:rsid w:val="00D30493"/>
    <w:rsid w:val="00D30B38"/>
    <w:rsid w:val="00D4308D"/>
    <w:rsid w:val="00D93579"/>
    <w:rsid w:val="00DA0FEB"/>
    <w:rsid w:val="00DC38BD"/>
    <w:rsid w:val="00DC7C2A"/>
    <w:rsid w:val="00DD5F09"/>
    <w:rsid w:val="00DE01A2"/>
    <w:rsid w:val="00DE4872"/>
    <w:rsid w:val="00DE591E"/>
    <w:rsid w:val="00E01450"/>
    <w:rsid w:val="00E10B00"/>
    <w:rsid w:val="00E159BA"/>
    <w:rsid w:val="00E160C6"/>
    <w:rsid w:val="00E20DC3"/>
    <w:rsid w:val="00E27C03"/>
    <w:rsid w:val="00E35AAA"/>
    <w:rsid w:val="00E474E8"/>
    <w:rsid w:val="00E51250"/>
    <w:rsid w:val="00E755E5"/>
    <w:rsid w:val="00E80EED"/>
    <w:rsid w:val="00E83697"/>
    <w:rsid w:val="00E96BDE"/>
    <w:rsid w:val="00EA325A"/>
    <w:rsid w:val="00EB4087"/>
    <w:rsid w:val="00EF4554"/>
    <w:rsid w:val="00EF665C"/>
    <w:rsid w:val="00EF74BC"/>
    <w:rsid w:val="00EF7FE6"/>
    <w:rsid w:val="00F01834"/>
    <w:rsid w:val="00F045EA"/>
    <w:rsid w:val="00F14333"/>
    <w:rsid w:val="00F37B57"/>
    <w:rsid w:val="00F4110E"/>
    <w:rsid w:val="00F42327"/>
    <w:rsid w:val="00F442DB"/>
    <w:rsid w:val="00F50F76"/>
    <w:rsid w:val="00F64AF7"/>
    <w:rsid w:val="00F708FA"/>
    <w:rsid w:val="00F823AE"/>
    <w:rsid w:val="00F866AC"/>
    <w:rsid w:val="00F9063E"/>
    <w:rsid w:val="00FA2911"/>
    <w:rsid w:val="00FA7926"/>
    <w:rsid w:val="00FC0626"/>
    <w:rsid w:val="00FC40E4"/>
    <w:rsid w:val="00FD19EB"/>
    <w:rsid w:val="00FD339E"/>
    <w:rsid w:val="00FE2BA3"/>
    <w:rsid w:val="00FF3084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0DC3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4EBC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5C73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854B4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4EBC"/>
    <w:rPr>
      <w:sz w:val="0"/>
      <w:szCs w:val="0"/>
    </w:rPr>
  </w:style>
  <w:style w:type="paragraph" w:customStyle="1" w:styleId="14">
    <w:name w:val="Обычный + 14 пт"/>
    <w:basedOn w:val="a"/>
    <w:uiPriority w:val="99"/>
    <w:rsid w:val="009A65F6"/>
    <w:rPr>
      <w:sz w:val="28"/>
      <w:szCs w:val="28"/>
    </w:rPr>
  </w:style>
  <w:style w:type="paragraph" w:styleId="a6">
    <w:name w:val="header"/>
    <w:basedOn w:val="a"/>
    <w:link w:val="a7"/>
    <w:uiPriority w:val="99"/>
    <w:rsid w:val="00F64A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4EBC"/>
    <w:rPr>
      <w:sz w:val="24"/>
      <w:szCs w:val="24"/>
    </w:rPr>
  </w:style>
  <w:style w:type="character" w:styleId="a8">
    <w:name w:val="page number"/>
    <w:basedOn w:val="a0"/>
    <w:uiPriority w:val="99"/>
    <w:rsid w:val="00F64AF7"/>
  </w:style>
  <w:style w:type="paragraph" w:styleId="a9">
    <w:name w:val="Normal (Web)"/>
    <w:basedOn w:val="a"/>
    <w:uiPriority w:val="99"/>
    <w:rsid w:val="00B55799"/>
    <w:pPr>
      <w:spacing w:before="100" w:beforeAutospacing="1" w:after="100" w:afterAutospacing="1"/>
    </w:pPr>
  </w:style>
  <w:style w:type="paragraph" w:customStyle="1" w:styleId="aa">
    <w:name w:val="Стиль"/>
    <w:basedOn w:val="a"/>
    <w:uiPriority w:val="99"/>
    <w:rsid w:val="00B55799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b">
    <w:name w:val="Нормальный (таблица)"/>
    <w:basedOn w:val="a"/>
    <w:next w:val="a"/>
    <w:rsid w:val="00B55799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B5579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Гипертекстовая ссылка"/>
    <w:uiPriority w:val="99"/>
    <w:rsid w:val="000359F2"/>
    <w:rPr>
      <w:color w:val="auto"/>
      <w:sz w:val="26"/>
      <w:szCs w:val="26"/>
    </w:rPr>
  </w:style>
  <w:style w:type="character" w:customStyle="1" w:styleId="apple-style-span">
    <w:name w:val="apple-style-span"/>
    <w:uiPriority w:val="99"/>
    <w:rsid w:val="00BC795D"/>
  </w:style>
  <w:style w:type="paragraph" w:customStyle="1" w:styleId="ConsPlusNormal">
    <w:name w:val="ConsPlusNormal"/>
    <w:uiPriority w:val="99"/>
    <w:rsid w:val="00BC795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e">
    <w:name w:val="Body Text"/>
    <w:basedOn w:val="a"/>
    <w:link w:val="af"/>
    <w:uiPriority w:val="99"/>
    <w:rsid w:val="001211B7"/>
    <w:pPr>
      <w:ind w:right="-1192"/>
    </w:pPr>
    <w:rPr>
      <w:sz w:val="28"/>
      <w:szCs w:val="28"/>
    </w:rPr>
  </w:style>
  <w:style w:type="character" w:customStyle="1" w:styleId="af">
    <w:name w:val="Основной текст Знак"/>
    <w:basedOn w:val="a0"/>
    <w:link w:val="ae"/>
    <w:uiPriority w:val="99"/>
    <w:semiHidden/>
    <w:rsid w:val="005E4EBC"/>
    <w:rPr>
      <w:sz w:val="24"/>
      <w:szCs w:val="24"/>
    </w:rPr>
  </w:style>
  <w:style w:type="paragraph" w:styleId="af0">
    <w:name w:val="List Paragraph"/>
    <w:basedOn w:val="a"/>
    <w:uiPriority w:val="34"/>
    <w:qFormat/>
    <w:rsid w:val="000B64A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0B64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1">
    <w:name w:val="footer"/>
    <w:basedOn w:val="a"/>
    <w:link w:val="af2"/>
    <w:uiPriority w:val="99"/>
    <w:semiHidden/>
    <w:unhideWhenUsed/>
    <w:rsid w:val="000B64A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0B64A1"/>
    <w:rPr>
      <w:sz w:val="24"/>
      <w:szCs w:val="24"/>
    </w:rPr>
  </w:style>
  <w:style w:type="paragraph" w:styleId="af3">
    <w:name w:val="No Spacing"/>
    <w:link w:val="af4"/>
    <w:uiPriority w:val="99"/>
    <w:qFormat/>
    <w:rsid w:val="00A150E8"/>
    <w:rPr>
      <w:rFonts w:ascii="Calibri" w:hAnsi="Calibri"/>
      <w:sz w:val="22"/>
      <w:szCs w:val="22"/>
    </w:rPr>
  </w:style>
  <w:style w:type="character" w:customStyle="1" w:styleId="af4">
    <w:name w:val="Без интервала Знак"/>
    <w:basedOn w:val="a0"/>
    <w:link w:val="af3"/>
    <w:uiPriority w:val="99"/>
    <w:locked/>
    <w:rsid w:val="00A150E8"/>
    <w:rPr>
      <w:rFonts w:ascii="Calibri" w:hAnsi="Calibri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9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4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433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consultantplus://offline/ref=CDB1181782DD9694413AF93DE20B6E41595C8C483FDC9E49432E8B569A339CB8DBD43084FBF8610FDA46C47BDDT5Y7M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hyperlink" Target="consultantplus://offline/ref=CDB1181782DD9694413AF93DE20B6E41595C8C483FDC9E49432E8B569A339CB8DBD43084FBF8610FDA46C47BDDT5Y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3895</Words>
  <Characters>22204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Постановлению    </vt:lpstr>
    </vt:vector>
  </TitlesOfParts>
  <Company>Голубицкое сп</Company>
  <LinksUpToDate>false</LinksUpToDate>
  <CharactersWithSpaces>26047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Постановлению    </dc:title>
  <dc:subject/>
  <dc:creator>User</dc:creator>
  <cp:keywords/>
  <dc:description/>
  <cp:lastModifiedBy>Пользователь Windows</cp:lastModifiedBy>
  <cp:revision>79</cp:revision>
  <cp:lastPrinted>2025-11-06T15:18:00Z</cp:lastPrinted>
  <dcterms:created xsi:type="dcterms:W3CDTF">2014-11-10T12:47:00Z</dcterms:created>
  <dcterms:modified xsi:type="dcterms:W3CDTF">2025-11-06T15:18:00Z</dcterms:modified>
</cp:coreProperties>
</file>