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A1" w:rsidRPr="005E6DE3" w:rsidRDefault="000B64A1" w:rsidP="000B64A1">
      <w:pPr>
        <w:pStyle w:val="ConsPlusTitle"/>
        <w:numPr>
          <w:ilvl w:val="0"/>
          <w:numId w:val="5"/>
        </w:numPr>
        <w:adjustRightInd/>
        <w:jc w:val="center"/>
        <w:outlineLvl w:val="1"/>
        <w:rPr>
          <w:rFonts w:ascii="Times New Roman" w:hAnsi="Times New Roman" w:cs="Times New Roman"/>
          <w:sz w:val="24"/>
          <w:szCs w:val="24"/>
        </w:rPr>
      </w:pPr>
      <w:r w:rsidRPr="005E6DE3">
        <w:rPr>
          <w:rFonts w:ascii="Times New Roman" w:hAnsi="Times New Roman" w:cs="Times New Roman"/>
          <w:sz w:val="24"/>
          <w:szCs w:val="24"/>
        </w:rPr>
        <w:t>Методика оценки эффективности реализации муниципальной</w:t>
      </w:r>
    </w:p>
    <w:p w:rsidR="000B64A1" w:rsidRPr="005E6DE3" w:rsidRDefault="000B64A1" w:rsidP="000B64A1">
      <w:pPr>
        <w:pStyle w:val="ConsPlusTitle"/>
        <w:jc w:val="center"/>
        <w:rPr>
          <w:rFonts w:ascii="Times New Roman" w:hAnsi="Times New Roman" w:cs="Times New Roman"/>
          <w:sz w:val="24"/>
          <w:szCs w:val="24"/>
        </w:rPr>
      </w:pPr>
      <w:r w:rsidRPr="005E6DE3">
        <w:rPr>
          <w:rFonts w:ascii="Times New Roman" w:hAnsi="Times New Roman" w:cs="Times New Roman"/>
          <w:sz w:val="24"/>
          <w:szCs w:val="24"/>
        </w:rPr>
        <w:t>программы</w:t>
      </w:r>
    </w:p>
    <w:p w:rsidR="000B64A1" w:rsidRPr="005E6DE3" w:rsidRDefault="000B64A1" w:rsidP="000B64A1">
      <w:pPr>
        <w:pStyle w:val="ConsPlusNormal"/>
        <w:jc w:val="center"/>
        <w:rPr>
          <w:rFonts w:ascii="Times New Roman" w:hAnsi="Times New Roman" w:cs="Times New Roman"/>
        </w:rPr>
      </w:pPr>
    </w:p>
    <w:p w:rsidR="000B64A1" w:rsidRPr="005E6DE3" w:rsidRDefault="000B64A1" w:rsidP="000B64A1">
      <w:pPr>
        <w:pStyle w:val="ConsPlusNormal"/>
        <w:ind w:firstLine="709"/>
        <w:jc w:val="both"/>
        <w:rPr>
          <w:rFonts w:ascii="Times New Roman" w:hAnsi="Times New Roman" w:cs="Times New Roman"/>
        </w:rPr>
      </w:pPr>
    </w:p>
    <w:p w:rsidR="000B64A1" w:rsidRPr="00ED2A8B" w:rsidRDefault="000B64A1" w:rsidP="000B64A1">
      <w:pPr>
        <w:ind w:firstLine="709"/>
        <w:jc w:val="both"/>
        <w:rPr>
          <w:sz w:val="28"/>
          <w:szCs w:val="28"/>
          <w:lang w:eastAsia="ar-SA"/>
        </w:rPr>
      </w:pPr>
      <w:r w:rsidRPr="00ED2A8B">
        <w:rPr>
          <w:sz w:val="28"/>
          <w:szCs w:val="28"/>
        </w:rPr>
        <w:t xml:space="preserve">Оценка эффективности реализации муниципальной программы осуществляется в соответствии с методикой, предусмотренной постановлением администрации Ахтанизовского сельского поселения Темрюкского района от </w:t>
      </w:r>
      <w:r w:rsidRPr="00ED2A8B">
        <w:rPr>
          <w:color w:val="000000"/>
          <w:sz w:val="28"/>
          <w:szCs w:val="28"/>
          <w:shd w:val="clear" w:color="auto" w:fill="FFFFFF"/>
        </w:rPr>
        <w:t xml:space="preserve">30 августа 2024 года № 148 </w:t>
      </w:r>
      <w:r w:rsidRPr="00ED2A8B">
        <w:rPr>
          <w:sz w:val="28"/>
          <w:szCs w:val="28"/>
        </w:rPr>
        <w:t xml:space="preserve">«Об утверждении порядка </w:t>
      </w:r>
      <w:r w:rsidRPr="00ED2A8B">
        <w:rPr>
          <w:sz w:val="28"/>
          <w:szCs w:val="28"/>
          <w:lang w:eastAsia="ar-SA"/>
        </w:rPr>
        <w:t xml:space="preserve">принятия решения о разработке, формировании, реализации и оценке эффективности реализации муниципальных программ </w:t>
      </w:r>
      <w:r w:rsidRPr="00ED2A8B">
        <w:rPr>
          <w:sz w:val="28"/>
          <w:szCs w:val="28"/>
        </w:rPr>
        <w:t>Ахтанизовского</w:t>
      </w:r>
      <w:r w:rsidRPr="00ED2A8B">
        <w:rPr>
          <w:sz w:val="28"/>
          <w:szCs w:val="28"/>
          <w:lang w:eastAsia="ar-SA"/>
        </w:rPr>
        <w:t xml:space="preserve">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1.1. Оценка эффективности реализации муниципальной программы Ахтанизовского сельского поселения Темрюкского района (далее - муниципальная программа)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реализации мероприятий подпрограмм и основных мероприятий, включенных в муниципальную программу (далее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подпрограмм, включенных в муниципальную программу (далее - оценка степени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1.3. Мероприятия подпрограмм и основные мероприятия муниципальной программы, предусматривающие исключительно расходы на содержание координатора муниципальной программы (подпрограммы), и (или) участника муниципальной программы, из расчета оценки эффективности реализации муниципальной программы исключаются.</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2. Оценка степени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2.1. Для оценки степени реализации мероприятий определяется степень выполнения показателя непосредственного результата мероприятия (далее - непосредственный результат).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2.2. Степень выполнения непосредственного результата рассчитывается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НРф / НРп;</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НРп / НРф,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НРф - значение непосредственного результата,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НРп - плановое значение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СВнр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основное мероприятие, мероприятие подпрограммы имеет несколько показателей непосредственного результата, расчет проводится по каждому из них.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Ахтанизовского сельского поселения Темрюкского района,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2.4. 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(событий) и (или) достижению качественного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 а также на предоставление страховых гарантий отдельным категориям граждан, в порядке, установленном нормативно - правовыми актами администрации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2.6. Степень реализации мероприятий рассчитывается для каждой подпрограммы и перечня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5C592C" w:rsidP="000B64A1">
      <w:pPr>
        <w:pStyle w:val="ConsPlusNormal"/>
        <w:ind w:firstLine="709"/>
        <w:jc w:val="center"/>
        <w:rPr>
          <w:rFonts w:ascii="Times New Roman" w:hAnsi="Times New Roman" w:cs="Times New Roman"/>
          <w:sz w:val="28"/>
          <w:szCs w:val="28"/>
        </w:rPr>
      </w:pPr>
      <w:r w:rsidRPr="005C592C">
        <w:rPr>
          <w:rFonts w:ascii="Times New Roman" w:hAnsi="Times New Roman" w:cs="Times New Roman"/>
          <w:noProof/>
          <w:position w:val="-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alt="base_23729_196884_32768" style="width:162pt;height:36.75pt;visibility:visible">
            <v:imagedata r:id="rId7" o:title="base_23729_196884_32768"/>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СРм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3. Оценка степени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3.1.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 (З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бюджета Ахтанизовского сельского поселения Темрюкского района по состоянию на 31 декабря отчетного года;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 Используются данные об объемах бюджетных ассигнований, предусматриваемые в бюджете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внебюджетных источников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внебюджетных источников в отчетном периоде. Используются данные по объемам расходов, предусмотренных за счет внебюджетных источников на реализацию подпрограммы (перечня основных мероприятий) в соответствии с действующей на момент проведения оценки эффективности реализации муниципальной программы редакцией муниципальной программы. Если фактические расходы на реализацию подпрограммы (перечня основных мероприятий) из средств внебюджетных источников в отчетном периоде превышают плановые расходы, то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принимается равным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w:t>
      </w:r>
      <w:r w:rsidRPr="00ED2A8B">
        <w:rPr>
          <w:rFonts w:ascii="Times New Roman" w:hAnsi="Times New Roman" w:cs="Times New Roman"/>
          <w:sz w:val="28"/>
          <w:szCs w:val="28"/>
        </w:rPr>
        <w:lastRenderedPageBreak/>
        <w:t>= 0,6);</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весовой коэффициент значимости расходов из средств внебюджетных источников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0,4).</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Если расходы на реализацию подпрограммы (перечня основных мероприятий) предусмотрены только за счет средств бюджетных источников,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1,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не применяется.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наличия по состоянию на 1 января текущего финансового года неисполненных денежных обязательств получателей средств бюджета Ахтанизовского сельского поселения Темрюкского района, возникших в отчетном финансовом году,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финансирования в отчетном финансовом году денежных обязательств получателей средств бюджета Ахтанизовского сельского поселения Темрюкского района, не исполненных по состоянию на 1 января отчетного финансового года,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bookmarkStart w:id="0" w:name="P1191"/>
      <w:bookmarkEnd w:id="0"/>
      <w:r w:rsidRPr="00ED2A8B">
        <w:rPr>
          <w:rFonts w:ascii="Times New Roman" w:hAnsi="Times New Roman" w:cs="Times New Roman"/>
          <w:b w:val="0"/>
          <w:sz w:val="28"/>
          <w:szCs w:val="28"/>
        </w:rPr>
        <w:t>4. Оценка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использования финансовых ресурсов рассчитывается для каждой подпрограммы и перечня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Эис = СРм x 0,7 + ССуз x 0,3,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w:t>
      </w:r>
      <w:r w:rsidRPr="00ED2A8B">
        <w:rPr>
          <w:rFonts w:ascii="Times New Roman" w:hAnsi="Times New Roman" w:cs="Times New Roman"/>
          <w:sz w:val="28"/>
          <w:szCs w:val="28"/>
        </w:rPr>
        <w:t xml:space="preserve">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 xml:space="preserve">5. Оценка степени реализации 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5.1. Для оценки степени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значение целевого показателя подпрограммы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плановое значение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5.3. Степень реализации подпрограммы рассчитывается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5C592C" w:rsidP="000B64A1">
      <w:pPr>
        <w:pStyle w:val="ConsPlusNormal"/>
        <w:ind w:firstLine="709"/>
        <w:jc w:val="center"/>
        <w:rPr>
          <w:rFonts w:ascii="Times New Roman" w:hAnsi="Times New Roman" w:cs="Times New Roman"/>
          <w:sz w:val="28"/>
          <w:szCs w:val="28"/>
        </w:rPr>
      </w:pPr>
      <w:r w:rsidRPr="005C592C">
        <w:rPr>
          <w:rFonts w:ascii="Times New Roman" w:hAnsi="Times New Roman" w:cs="Times New Roman"/>
          <w:noProof/>
          <w:position w:val="-33"/>
          <w:sz w:val="28"/>
          <w:szCs w:val="28"/>
        </w:rPr>
        <w:pict>
          <v:shape id="Рисунок 3" o:spid="_x0000_i1027" type="#_x0000_t75" alt="base_23729_196884_32769" style="width:170.25pt;height:40.5pt;visibility:visible">
            <v:imagedata r:id="rId8" o:title="base_23729_196884_32769"/>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количество целевых показателей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6. Оценка эффективности реализации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 xml:space="preserve">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6.2. Эффективность реализации подпрограммы признается высокой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B64A1" w:rsidRDefault="000B64A1" w:rsidP="000B64A1">
      <w:pPr>
        <w:pStyle w:val="ConsPlusNormal"/>
        <w:ind w:firstLine="709"/>
        <w:jc w:val="both"/>
        <w:rPr>
          <w:rFonts w:ascii="Times New Roman" w:hAnsi="Times New Roman" w:cs="Times New Roman"/>
          <w:sz w:val="28"/>
          <w:szCs w:val="28"/>
        </w:rPr>
      </w:pPr>
    </w:p>
    <w:p w:rsidR="00CC6C15" w:rsidRPr="00ED2A8B" w:rsidRDefault="00CC6C15"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7. Оценка степени достижения целей</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7.3. Степень достижения целей и решения задач муниципальной программы рассчитывается по формуле:</w:t>
      </w:r>
    </w:p>
    <w:p w:rsidR="000B64A1" w:rsidRPr="00ED2A8B" w:rsidRDefault="000B64A1" w:rsidP="000B64A1">
      <w:pPr>
        <w:pStyle w:val="ConsPlusNormal"/>
        <w:ind w:firstLine="709"/>
        <w:jc w:val="center"/>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СРмп =</w:t>
      </w:r>
      <w:r w:rsidR="005C592C" w:rsidRPr="00ED2A8B">
        <w:rPr>
          <w:rFonts w:ascii="Times New Roman" w:hAnsi="Times New Roman" w:cs="Times New Roman"/>
          <w:sz w:val="28"/>
          <w:szCs w:val="28"/>
        </w:rPr>
        <w:fldChar w:fldCharType="begin"/>
      </w:r>
      <w:r w:rsidRPr="00ED2A8B">
        <w:rPr>
          <w:rFonts w:ascii="Times New Roman" w:hAnsi="Times New Roman" w:cs="Times New Roman"/>
          <w:sz w:val="28"/>
          <w:szCs w:val="28"/>
        </w:rPr>
        <w:instrText xml:space="preserve"> QUOTE </w:instrText>
      </w:r>
      <w:r w:rsidR="00DE21EF" w:rsidRPr="005C592C">
        <w:rPr>
          <w:rFonts w:ascii="Times New Roman" w:hAnsi="Times New Roman" w:cs="Times New Roman"/>
          <w:position w:val="-8"/>
          <w:sz w:val="28"/>
          <w:szCs w:val="28"/>
        </w:rPr>
        <w:pict>
          <v:shape id="_x0000_i1028"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ED2A8B">
        <w:rPr>
          <w:rFonts w:ascii="Times New Roman" w:hAnsi="Times New Roman" w:cs="Times New Roman"/>
          <w:sz w:val="28"/>
          <w:szCs w:val="28"/>
        </w:rPr>
        <w:instrText xml:space="preserve"> </w:instrText>
      </w:r>
      <w:r w:rsidR="005C592C" w:rsidRPr="00ED2A8B">
        <w:rPr>
          <w:rFonts w:ascii="Times New Roman" w:hAnsi="Times New Roman" w:cs="Times New Roman"/>
          <w:sz w:val="28"/>
          <w:szCs w:val="28"/>
        </w:rPr>
        <w:fldChar w:fldCharType="separate"/>
      </w:r>
      <w:r w:rsidR="00DE21EF" w:rsidRPr="005C592C">
        <w:rPr>
          <w:rFonts w:ascii="Times New Roman" w:hAnsi="Times New Roman" w:cs="Times New Roman"/>
          <w:position w:val="-8"/>
          <w:sz w:val="28"/>
          <w:szCs w:val="28"/>
        </w:rPr>
        <w:pict>
          <v:shape id="_x0000_i1029"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5C592C" w:rsidRPr="00ED2A8B">
        <w:rPr>
          <w:rFonts w:ascii="Times New Roman" w:hAnsi="Times New Roman" w:cs="Times New Roman"/>
          <w:sz w:val="28"/>
          <w:szCs w:val="28"/>
        </w:rPr>
        <w:fldChar w:fldCharType="end"/>
      </w:r>
      <w:r w:rsidRPr="00ED2A8B">
        <w:rPr>
          <w:rFonts w:ascii="Times New Roman" w:hAnsi="Times New Roman" w:cs="Times New Roman"/>
          <w:sz w:val="28"/>
          <w:szCs w:val="28"/>
        </w:rPr>
        <w:t xml:space="preserve"> СДмп/пз / М, где:               </w:t>
      </w:r>
      <w:r w:rsidRPr="00ED2A8B">
        <w:rPr>
          <w:rFonts w:ascii="Times New Roman" w:hAnsi="Times New Roman" w:cs="Times New Roman"/>
          <w:sz w:val="28"/>
          <w:szCs w:val="28"/>
        </w:rPr>
        <w:br w:type="textWrapping" w:clear="all"/>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М - количество целевых показателей, характеризующих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8. Оценка эффективности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 Выбор формулы расчета эффективности реализации муниципальной программы зависит от структуры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8.1.2. В случае если муниципальная программа сформирована только из подпрограмм,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5C592C" w:rsidP="000B64A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9" editas="canvas" style="width:255.45pt;height:55.5pt;mso-position-horizontal-relative:char;mso-position-vertical-relative:line" coordsize="5109,1110">
            <o:lock v:ext="edit" aspectratio="t"/>
            <v:shape id="_x0000_s1050" type="#_x0000_t75" style="position:absolute;width:5109;height:1110" o:preferrelative="f">
              <v:fill o:detectmouseclick="t"/>
              <v:path o:extrusionok="t" o:connecttype="none"/>
              <o:lock v:ext="edit" text="t"/>
            </v:shape>
            <v:rect id="_x0000_s1051" style="position:absolute;width:4575;height:1080" stroked="f"/>
            <v:rect id="_x0000_s1052" style="position:absolute;left:4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53" style="position:absolute;left:40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4" style="position:absolute;left:63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5" style="position:absolute;left:82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56" style="position:absolute;left:1335;top:375;width:367;height:345;mso-wrap-style:none" filled="f" stroked="f">
              <v:textbox style="mso-fit-shape-to-text:t" inset="0,0,0,0">
                <w:txbxContent>
                  <w:p w:rsidR="000B64A1" w:rsidRDefault="000B64A1" w:rsidP="000B64A1">
                    <w:r>
                      <w:rPr>
                        <w:color w:val="000000"/>
                        <w:sz w:val="30"/>
                        <w:szCs w:val="30"/>
                        <w:lang w:val="en-US"/>
                      </w:rPr>
                      <w:t>СР</w:t>
                    </w:r>
                  </w:p>
                </w:txbxContent>
              </v:textbox>
            </v:rect>
            <v:rect id="_x0000_s1057" style="position:absolute;left:169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8" style="position:absolute;left:192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9" style="position:absolute;left:211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60" style="position:absolute;left:2820;top:60;width:67;height:276;mso-wrap-style:none" filled="f" stroked="f">
              <v:textbox style="mso-fit-shape-to-text:t" inset="0,0,0,0">
                <w:txbxContent>
                  <w:p w:rsidR="000B64A1" w:rsidRDefault="000B64A1" w:rsidP="000B64A1">
                    <w:r>
                      <w:rPr>
                        <w:i/>
                        <w:iCs/>
                        <w:color w:val="000000"/>
                        <w:lang w:val="en-US"/>
                      </w:rPr>
                      <w:t>j</w:t>
                    </w:r>
                  </w:p>
                </w:txbxContent>
              </v:textbox>
            </v:rect>
            <v:rect id="_x0000_s1061" style="position:absolute;left:2790;top:795;width:121;height:276;mso-wrap-style:none" filled="f" stroked="f">
              <v:textbox style="mso-fit-shape-to-text:t" inset="0,0,0,0">
                <w:txbxContent>
                  <w:p w:rsidR="000B64A1" w:rsidRDefault="000B64A1" w:rsidP="000B64A1">
                    <w:r>
                      <w:rPr>
                        <w:color w:val="000000"/>
                        <w:lang w:val="en-US"/>
                      </w:rPr>
                      <w:t>1</w:t>
                    </w:r>
                  </w:p>
                </w:txbxContent>
              </v:textbox>
            </v:rect>
            <v:rect id="_x0000_s1062" style="position:absolute;left:2640;top:180;width:344;height:711;mso-wrap-style:none" filled="f" stroked="f">
              <v:textbox style="mso-fit-shape-to-text:t" inset="0,0,0,0">
                <w:txbxContent>
                  <w:p w:rsidR="000B64A1" w:rsidRPr="004446DD" w:rsidRDefault="000B64A1" w:rsidP="000B64A1">
                    <w:r>
                      <w:rPr>
                        <w:b/>
                        <w:bCs/>
                        <w:color w:val="000000"/>
                        <w:sz w:val="58"/>
                        <w:szCs w:val="58"/>
                        <w:lang w:val="en-US"/>
                      </w:rPr>
                      <w:sym w:font="Symbol" w:char="F053"/>
                    </w:r>
                  </w:p>
                </w:txbxContent>
              </v:textbox>
            </v:rect>
            <v:rect id="_x0000_s1063" style="position:absolute;left:307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64" style="position:absolute;left:3435;top:525;width:129;height:276;mso-wrap-style:none" filled="f" stroked="f">
              <v:textbox style="mso-fit-shape-to-text:t" inset="0,0,0,0">
                <w:txbxContent>
                  <w:p w:rsidR="000B64A1" w:rsidRDefault="000B64A1" w:rsidP="000B64A1">
                    <w:r>
                      <w:rPr>
                        <w:color w:val="000000"/>
                        <w:lang w:val="en-US"/>
                      </w:rPr>
                      <w:t>п</w:t>
                    </w:r>
                  </w:p>
                </w:txbxContent>
              </v:textbox>
            </v:rect>
            <v:rect id="_x0000_s1065" style="position:absolute;left:3570;top:525;width:67;height:276;mso-wrap-style:none" filled="f" stroked="f">
              <v:textbox style="mso-fit-shape-to-text:t" inset="0,0,0,0">
                <w:txbxContent>
                  <w:p w:rsidR="000B64A1" w:rsidRDefault="000B64A1" w:rsidP="000B64A1">
                    <w:r>
                      <w:rPr>
                        <w:color w:val="000000"/>
                        <w:lang w:val="en-US"/>
                      </w:rPr>
                      <w:t>/</w:t>
                    </w:r>
                  </w:p>
                </w:txbxContent>
              </v:textbox>
            </v:rect>
            <v:rect id="_x0000_s1066" style="position:absolute;left:3660;top:525;width:129;height:276;mso-wrap-style:none" filled="f" stroked="f">
              <v:textbox style="mso-fit-shape-to-text:t" inset="0,0,0,0">
                <w:txbxContent>
                  <w:p w:rsidR="000B64A1" w:rsidRDefault="000B64A1" w:rsidP="000B64A1">
                    <w:r>
                      <w:rPr>
                        <w:color w:val="000000"/>
                        <w:lang w:val="en-US"/>
                      </w:rPr>
                      <w:t>п</w:t>
                    </w:r>
                  </w:p>
                </w:txbxContent>
              </v:textbox>
            </v:rect>
            <v:rect id="_x0000_s1067" style="position:absolute;left:3765;top:375;width:151;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68" style="position:absolute;left:3900;top:375;width:147;height:345;mso-wrap-style:none" filled="f" stroked="f">
              <v:textbox style="mso-fit-shape-to-text:t" inset="0,0,0,0">
                <w:txbxContent>
                  <w:p w:rsidR="000B64A1" w:rsidRDefault="000B64A1" w:rsidP="000B64A1">
                    <w:r>
                      <w:rPr>
                        <w:i/>
                        <w:iCs/>
                        <w:color w:val="000000"/>
                        <w:sz w:val="30"/>
                        <w:szCs w:val="30"/>
                        <w:lang w:val="en-US"/>
                      </w:rPr>
                      <w:t>k</w:t>
                    </w:r>
                  </w:p>
                </w:txbxContent>
              </v:textbox>
            </v:rect>
            <v:rect id="_x0000_s1069" style="position:absolute;left:4050;top:510;width:67;height:276;mso-wrap-style:none" filled="f" stroked="f">
              <v:textbox style="mso-fit-shape-to-text:t" inset="0,0,0,0">
                <w:txbxContent>
                  <w:p w:rsidR="000B64A1" w:rsidRDefault="000B64A1" w:rsidP="000B64A1">
                    <w:r>
                      <w:rPr>
                        <w:i/>
                        <w:iCs/>
                        <w:color w:val="000000"/>
                        <w:lang w:val="en-US"/>
                      </w:rPr>
                      <w:t>j</w:t>
                    </w:r>
                  </w:p>
                </w:txbxContent>
              </v:textbox>
            </v:rect>
            <v:rect id="_x0000_s1070" style="position:absolute;left:4140;top:375;width:84;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71" style="position:absolute;left:4305;top:375;width:84;height:345;mso-wrap-style:none" filled="f" stroked="f">
              <v:textbox style="mso-fit-shape-to-text:t" inset="0,0,0,0">
                <w:txbxContent>
                  <w:p w:rsidR="000B64A1" w:rsidRDefault="000B64A1" w:rsidP="000B64A1">
                    <w:r>
                      <w:rPr>
                        <w:i/>
                        <w:iCs/>
                        <w:color w:val="000000"/>
                        <w:sz w:val="30"/>
                        <w:szCs w:val="30"/>
                        <w:lang w:val="en-US"/>
                      </w:rPr>
                      <w:t>j</w:t>
                    </w:r>
                  </w:p>
                </w:txbxContent>
              </v:textbox>
            </v:rect>
            <w10:anchorlock/>
          </v:group>
        </w:pic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федерального, краевого бюджетов (кассового исполнения) на реализацию j-ой подпрограммы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федерального, краевого бюджетов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8.1.3. В случае если муниципальная программа сформирована из подпрограмм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DE21EF" w:rsidP="000B64A1">
      <w:pPr>
        <w:pStyle w:val="ConsPlusNormal"/>
        <w:ind w:firstLine="709"/>
        <w:jc w:val="center"/>
        <w:rPr>
          <w:rFonts w:ascii="Times New Roman" w:hAnsi="Times New Roman" w:cs="Times New Roman"/>
          <w:i/>
          <w:sz w:val="28"/>
          <w:szCs w:val="28"/>
        </w:rPr>
      </w:pPr>
      <w:r w:rsidRPr="005C592C">
        <w:rPr>
          <w:rFonts w:ascii="Times New Roman" w:hAnsi="Times New Roman" w:cs="Times New Roman"/>
          <w:sz w:val="28"/>
          <w:szCs w:val="28"/>
        </w:rPr>
        <w:pict>
          <v:shape id="_x0000_i1030" type="#_x0000_t75" style="width:267pt;height:3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70C7F&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570C7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Ў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0,5+&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j&lt;/m:t&gt;&lt;/m:r&gt;&lt;/m:sup&gt;&lt;m:e&gt;&lt;m:r&gt;&lt;w:rPr&gt;&lt;w:rFonts w:ascii=&quot;Cambria Math&quot; w:h-ansi=&quot;Cambria Math&quot;/&gt;&lt;wx:font wx:val=&quot;Cambria Math&quot;/&gt;&lt;w:i/&gt;&lt;/w:rPr&gt;&lt;m:t&gt;Р­&lt;/m:t&gt;&lt;/m:r&gt;&lt;/m:e&gt;&lt;/m:nary&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4+&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Р­&lt;/m:t&gt;&lt;/m:r&gt;&lt;/m:e&gt;&lt;m:sub&gt;&lt;m:r&gt;&lt;w:rPr&gt;&lt;w:rFonts w:ascii=&quot;Cambria Math&quot; w:h-ansi=&quot;Cambria Math&quot;/&gt;&lt;wx:font wx:val=&quot;Cambria Math&quot;/&gt;&lt;w:i/&gt;&lt;w:lang w:val=&quot;EN-US&quot;/&gt;&lt;/w:rPr&gt;&lt;m:t&gt;РёСЃ&lt;/m:t&gt;&lt;/m:r&gt;&lt;/m:sub&gt;&lt;/m:sSub&gt;&lt;m:r&gt;&lt;w:rPr&gt;&lt;w:rFonts w:ascii=&quot;Cambria Math&quot; w:h-ansi=&quot;Cambria Math&quot;/&gt;&lt;wx:font wx:val=&quot;Cambria Math&quot;/&gt;&lt;w:i/&gt;&lt;w:lang w:val=&quot;EN-US&quot;/&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1, &lt;/m:t&gt;&lt;/m:r&gt;&lt;m:r&gt;&lt;w:rPr&gt;&lt;w:rFonts w:ascii=&quot;Cambria Math&quot; w:h-ansi=&quot;Cambria Math&quot;/&gt;&lt;wx:font wx:val=&quot;Cambria Math&quot;/&gt;&lt;w:i/&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0B64A1" w:rsidRPr="00ED2A8B" w:rsidRDefault="000B64A1" w:rsidP="000B64A1">
      <w:pPr>
        <w:pStyle w:val="ConsPlusNormal"/>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(перечня основных мероприятий)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j-й подпрограммы (перечня основных мероприятий)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 - объем фактических расходов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8.2. Эффективность реализации муниципальной программы признается высокой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0B64A1" w:rsidRPr="005E6DE3" w:rsidRDefault="000B64A1" w:rsidP="000B64A1">
      <w:pPr>
        <w:ind w:firstLine="720"/>
        <w:jc w:val="both"/>
      </w:pPr>
    </w:p>
    <w:p w:rsidR="000B64A1" w:rsidRDefault="000B64A1" w:rsidP="000B64A1">
      <w:pPr>
        <w:jc w:val="both"/>
      </w:pPr>
    </w:p>
    <w:p w:rsidR="0019052C" w:rsidRDefault="0019052C" w:rsidP="000B64A1">
      <w:pPr>
        <w:jc w:val="both"/>
      </w:pPr>
    </w:p>
    <w:p w:rsidR="0019052C" w:rsidRDefault="0019052C" w:rsidP="000B64A1">
      <w:pPr>
        <w:jc w:val="both"/>
      </w:pPr>
    </w:p>
    <w:p w:rsidR="0019052C" w:rsidRPr="005E6DE3" w:rsidRDefault="0019052C" w:rsidP="000B64A1">
      <w:pPr>
        <w:jc w:val="both"/>
      </w:pPr>
    </w:p>
    <w:p w:rsidR="000B64A1" w:rsidRPr="00ED2A8B" w:rsidRDefault="000B64A1" w:rsidP="000B64A1">
      <w:pPr>
        <w:pStyle w:val="ConsPlusTitle"/>
        <w:numPr>
          <w:ilvl w:val="0"/>
          <w:numId w:val="5"/>
        </w:numPr>
        <w:adjustRightInd/>
        <w:jc w:val="center"/>
        <w:outlineLvl w:val="1"/>
        <w:rPr>
          <w:rFonts w:ascii="Times New Roman" w:hAnsi="Times New Roman" w:cs="Times New Roman"/>
          <w:sz w:val="28"/>
          <w:szCs w:val="28"/>
        </w:rPr>
      </w:pPr>
      <w:r w:rsidRPr="00ED2A8B">
        <w:rPr>
          <w:rFonts w:ascii="Times New Roman" w:hAnsi="Times New Roman" w:cs="Times New Roman"/>
          <w:sz w:val="28"/>
          <w:szCs w:val="28"/>
        </w:rPr>
        <w:t>Механизм реализации муниципальной программы и контроль</w:t>
      </w:r>
    </w:p>
    <w:p w:rsidR="000B64A1" w:rsidRPr="00ED2A8B" w:rsidRDefault="000B64A1" w:rsidP="000B64A1">
      <w:pPr>
        <w:pStyle w:val="ConsPlusTitle"/>
        <w:jc w:val="center"/>
        <w:rPr>
          <w:rFonts w:ascii="Times New Roman" w:hAnsi="Times New Roman" w:cs="Times New Roman"/>
          <w:sz w:val="28"/>
          <w:szCs w:val="28"/>
        </w:rPr>
      </w:pPr>
      <w:r w:rsidRPr="00ED2A8B">
        <w:rPr>
          <w:rFonts w:ascii="Times New Roman" w:hAnsi="Times New Roman" w:cs="Times New Roman"/>
          <w:sz w:val="28"/>
          <w:szCs w:val="28"/>
        </w:rPr>
        <w:t>за ее выполнением</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Текущее управление муниципальной программой осуществляет ее координатор, который: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обеспечивает разработку муниципальной программы,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принимает решение о необходимости внесения в установленном порядке изменений в муниципальную программу;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работу по достижению целевых показателей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проводит оценку эффективности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размещает информацию о ходе реализации и достигнутых результатах муниципальной программы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иные полномочия, установленные муниципальной 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w:t>
      </w:r>
      <w:r w:rsidRPr="00ED2A8B">
        <w:rPr>
          <w:rFonts w:ascii="Times New Roman" w:hAnsi="Times New Roman" w:cs="Times New Roman"/>
          <w:sz w:val="28"/>
          <w:szCs w:val="28"/>
        </w:rPr>
        <w:lastRenderedPageBreak/>
        <w:t>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Координаторы подпрограмм и участники муниципальной программы в пределах своей компетенции: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Заказчик:</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Федеральному </w:t>
      </w:r>
      <w:hyperlink r:id="rId11" w:history="1">
        <w:r w:rsidRPr="00ED2A8B">
          <w:rPr>
            <w:rFonts w:ascii="Times New Roman" w:hAnsi="Times New Roman" w:cs="Times New Roman"/>
            <w:sz w:val="28"/>
            <w:szCs w:val="28"/>
          </w:rPr>
          <w:t>закону</w:t>
        </w:r>
      </w:hyperlink>
      <w:r w:rsidRPr="00ED2A8B">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анализ выполнения мероприятия;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2" w:history="1">
        <w:r w:rsidRPr="00ED2A8B">
          <w:rPr>
            <w:rFonts w:ascii="Times New Roman" w:hAnsi="Times New Roman" w:cs="Times New Roman"/>
            <w:sz w:val="28"/>
            <w:szCs w:val="28"/>
          </w:rPr>
          <w:t>законом</w:t>
        </w:r>
      </w:hyperlink>
      <w:r w:rsidRPr="00ED2A8B">
        <w:rPr>
          <w:rFonts w:ascii="Times New Roman" w:hAnsi="Times New Roman" w:cs="Times New Roman"/>
          <w:sz w:val="28"/>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Default="000B64A1" w:rsidP="000B64A1">
      <w:pPr>
        <w:rPr>
          <w:sz w:val="28"/>
          <w:szCs w:val="28"/>
        </w:rPr>
      </w:pPr>
      <w:bookmarkStart w:id="1" w:name="_GoBack"/>
      <w:bookmarkEnd w:id="1"/>
      <w:r w:rsidRPr="00ED2A8B">
        <w:rPr>
          <w:sz w:val="28"/>
          <w:szCs w:val="28"/>
        </w:rPr>
        <w:t xml:space="preserve">Начальник общего отдела          </w:t>
      </w:r>
      <w:r>
        <w:rPr>
          <w:sz w:val="28"/>
          <w:szCs w:val="28"/>
        </w:rPr>
        <w:t xml:space="preserve">          </w:t>
      </w:r>
      <w:r w:rsidRPr="00ED2A8B">
        <w:rPr>
          <w:sz w:val="28"/>
          <w:szCs w:val="28"/>
        </w:rPr>
        <w:t xml:space="preserve">             </w:t>
      </w:r>
      <w:r>
        <w:rPr>
          <w:sz w:val="28"/>
          <w:szCs w:val="28"/>
        </w:rPr>
        <w:t xml:space="preserve">                           </w:t>
      </w:r>
      <w:r w:rsidRPr="00ED2A8B">
        <w:rPr>
          <w:sz w:val="28"/>
          <w:szCs w:val="28"/>
        </w:rPr>
        <w:t xml:space="preserve">         </w:t>
      </w:r>
      <w:r w:rsidR="00CC6C15">
        <w:rPr>
          <w:sz w:val="28"/>
          <w:szCs w:val="28"/>
        </w:rPr>
        <w:t>Т.В. Китова</w:t>
      </w: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DE4872">
      <w:pPr>
        <w:spacing w:line="240" w:lineRule="atLeast"/>
        <w:jc w:val="both"/>
        <w:rPr>
          <w:sz w:val="28"/>
          <w:szCs w:val="28"/>
        </w:rPr>
      </w:pPr>
    </w:p>
    <w:p w:rsidR="000B64A1" w:rsidRPr="00DE4872" w:rsidRDefault="000B64A1" w:rsidP="00DE4872">
      <w:pPr>
        <w:spacing w:line="240" w:lineRule="atLeast"/>
        <w:jc w:val="both"/>
      </w:pPr>
    </w:p>
    <w:sectPr w:rsidR="000B64A1" w:rsidRPr="00DE4872" w:rsidSect="005503EB">
      <w:headerReference w:type="default" r:id="rId13"/>
      <w:headerReference w:type="first" r:id="rId14"/>
      <w:pgSz w:w="11906" w:h="16838"/>
      <w:pgMar w:top="1134" w:right="567" w:bottom="851" w:left="170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0C4" w:rsidRDefault="00A200C4">
      <w:r>
        <w:separator/>
      </w:r>
    </w:p>
  </w:endnote>
  <w:endnote w:type="continuationSeparator" w:id="0">
    <w:p w:rsidR="00A200C4" w:rsidRDefault="00A20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0C4" w:rsidRDefault="00A200C4">
      <w:r>
        <w:separator/>
      </w:r>
    </w:p>
  </w:footnote>
  <w:footnote w:type="continuationSeparator" w:id="0">
    <w:p w:rsidR="00A200C4" w:rsidRDefault="00A2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57" w:rsidRDefault="005C592C" w:rsidP="004C364D">
    <w:pPr>
      <w:pStyle w:val="a6"/>
      <w:framePr w:wrap="auto" w:vAnchor="text" w:hAnchor="margin" w:xAlign="center" w:y="1"/>
      <w:rPr>
        <w:rStyle w:val="a8"/>
      </w:rPr>
    </w:pPr>
    <w:r>
      <w:rPr>
        <w:rStyle w:val="a8"/>
      </w:rPr>
      <w:fldChar w:fldCharType="begin"/>
    </w:r>
    <w:r w:rsidR="00042157">
      <w:rPr>
        <w:rStyle w:val="a8"/>
      </w:rPr>
      <w:instrText xml:space="preserve">PAGE  </w:instrText>
    </w:r>
    <w:r>
      <w:rPr>
        <w:rStyle w:val="a8"/>
      </w:rPr>
      <w:fldChar w:fldCharType="separate"/>
    </w:r>
    <w:r w:rsidR="00DE21EF">
      <w:rPr>
        <w:rStyle w:val="a8"/>
        <w:noProof/>
      </w:rPr>
      <w:t>5</w:t>
    </w:r>
    <w:r>
      <w:rPr>
        <w:rStyle w:val="a8"/>
      </w:rPr>
      <w:fldChar w:fldCharType="end"/>
    </w:r>
  </w:p>
  <w:p w:rsidR="00042157" w:rsidRDefault="000421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A1" w:rsidRDefault="005C592C">
    <w:pPr>
      <w:pStyle w:val="a6"/>
      <w:jc w:val="center"/>
    </w:pPr>
    <w:fldSimple w:instr=" PAGE   \* MERGEFORMAT ">
      <w:r w:rsidR="005503EB">
        <w:rPr>
          <w:noProof/>
        </w:rPr>
        <w:t>1</w:t>
      </w:r>
    </w:fldSimple>
  </w:p>
  <w:p w:rsidR="000B64A1" w:rsidRDefault="000B64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10B7A"/>
    <w:rsid w:val="00013BA7"/>
    <w:rsid w:val="000353FC"/>
    <w:rsid w:val="000359F2"/>
    <w:rsid w:val="00042157"/>
    <w:rsid w:val="00045672"/>
    <w:rsid w:val="0004682D"/>
    <w:rsid w:val="000620D2"/>
    <w:rsid w:val="00074972"/>
    <w:rsid w:val="00082B5F"/>
    <w:rsid w:val="0009527C"/>
    <w:rsid w:val="000A391E"/>
    <w:rsid w:val="000B1E06"/>
    <w:rsid w:val="000B2C42"/>
    <w:rsid w:val="000B43FE"/>
    <w:rsid w:val="000B64A1"/>
    <w:rsid w:val="000C7168"/>
    <w:rsid w:val="000E41BD"/>
    <w:rsid w:val="0010014A"/>
    <w:rsid w:val="0011657B"/>
    <w:rsid w:val="001211B7"/>
    <w:rsid w:val="001262FF"/>
    <w:rsid w:val="00127563"/>
    <w:rsid w:val="00153FED"/>
    <w:rsid w:val="001638EB"/>
    <w:rsid w:val="00175338"/>
    <w:rsid w:val="00177A57"/>
    <w:rsid w:val="0019052C"/>
    <w:rsid w:val="001A4969"/>
    <w:rsid w:val="001B10F3"/>
    <w:rsid w:val="001B7EA2"/>
    <w:rsid w:val="001D3049"/>
    <w:rsid w:val="00205A31"/>
    <w:rsid w:val="002246B7"/>
    <w:rsid w:val="00231598"/>
    <w:rsid w:val="00245918"/>
    <w:rsid w:val="0025434B"/>
    <w:rsid w:val="0026387C"/>
    <w:rsid w:val="00267F7F"/>
    <w:rsid w:val="0028317D"/>
    <w:rsid w:val="002C2F21"/>
    <w:rsid w:val="002C464D"/>
    <w:rsid w:val="002D576C"/>
    <w:rsid w:val="002D7163"/>
    <w:rsid w:val="002F15A1"/>
    <w:rsid w:val="002F2DBB"/>
    <w:rsid w:val="002F3764"/>
    <w:rsid w:val="00306A41"/>
    <w:rsid w:val="003371C7"/>
    <w:rsid w:val="00353438"/>
    <w:rsid w:val="00371E4C"/>
    <w:rsid w:val="00372CE0"/>
    <w:rsid w:val="003B61C0"/>
    <w:rsid w:val="003E523A"/>
    <w:rsid w:val="003E7151"/>
    <w:rsid w:val="003F5F69"/>
    <w:rsid w:val="004034E3"/>
    <w:rsid w:val="00414F2E"/>
    <w:rsid w:val="004216C7"/>
    <w:rsid w:val="00433654"/>
    <w:rsid w:val="00434131"/>
    <w:rsid w:val="00440EBA"/>
    <w:rsid w:val="00441584"/>
    <w:rsid w:val="004435E3"/>
    <w:rsid w:val="00445DD1"/>
    <w:rsid w:val="0044659A"/>
    <w:rsid w:val="00447642"/>
    <w:rsid w:val="004524DD"/>
    <w:rsid w:val="00467A32"/>
    <w:rsid w:val="004746DB"/>
    <w:rsid w:val="00475C77"/>
    <w:rsid w:val="00482A93"/>
    <w:rsid w:val="004839A6"/>
    <w:rsid w:val="00483B04"/>
    <w:rsid w:val="00485649"/>
    <w:rsid w:val="004909E2"/>
    <w:rsid w:val="00494DFE"/>
    <w:rsid w:val="00496665"/>
    <w:rsid w:val="004A5E94"/>
    <w:rsid w:val="004B2921"/>
    <w:rsid w:val="004B483E"/>
    <w:rsid w:val="004B6730"/>
    <w:rsid w:val="004C364D"/>
    <w:rsid w:val="004D3681"/>
    <w:rsid w:val="004F33BC"/>
    <w:rsid w:val="004F479C"/>
    <w:rsid w:val="00513A79"/>
    <w:rsid w:val="00514187"/>
    <w:rsid w:val="0051694D"/>
    <w:rsid w:val="00516A16"/>
    <w:rsid w:val="00525D57"/>
    <w:rsid w:val="00526F87"/>
    <w:rsid w:val="005315D2"/>
    <w:rsid w:val="00535879"/>
    <w:rsid w:val="00540585"/>
    <w:rsid w:val="00545860"/>
    <w:rsid w:val="005503EB"/>
    <w:rsid w:val="00550FF9"/>
    <w:rsid w:val="00575BAC"/>
    <w:rsid w:val="00585C4A"/>
    <w:rsid w:val="005C1213"/>
    <w:rsid w:val="005C592C"/>
    <w:rsid w:val="005C73F4"/>
    <w:rsid w:val="005D6BEE"/>
    <w:rsid w:val="005E2293"/>
    <w:rsid w:val="005F5892"/>
    <w:rsid w:val="006014C2"/>
    <w:rsid w:val="0060308A"/>
    <w:rsid w:val="00611818"/>
    <w:rsid w:val="00616248"/>
    <w:rsid w:val="00630A54"/>
    <w:rsid w:val="00644012"/>
    <w:rsid w:val="00644765"/>
    <w:rsid w:val="0065248B"/>
    <w:rsid w:val="006617FD"/>
    <w:rsid w:val="0066426F"/>
    <w:rsid w:val="0068041D"/>
    <w:rsid w:val="0068316F"/>
    <w:rsid w:val="006C215A"/>
    <w:rsid w:val="006E55CE"/>
    <w:rsid w:val="006F74A3"/>
    <w:rsid w:val="00707F87"/>
    <w:rsid w:val="007217B2"/>
    <w:rsid w:val="007255F3"/>
    <w:rsid w:val="00743C91"/>
    <w:rsid w:val="007631C3"/>
    <w:rsid w:val="00763877"/>
    <w:rsid w:val="007672F1"/>
    <w:rsid w:val="007701BB"/>
    <w:rsid w:val="00770220"/>
    <w:rsid w:val="007708BB"/>
    <w:rsid w:val="0079075C"/>
    <w:rsid w:val="007A20BF"/>
    <w:rsid w:val="007C3AE6"/>
    <w:rsid w:val="007D7478"/>
    <w:rsid w:val="007F0CC0"/>
    <w:rsid w:val="007F0DAF"/>
    <w:rsid w:val="007F2A24"/>
    <w:rsid w:val="0082205F"/>
    <w:rsid w:val="00832909"/>
    <w:rsid w:val="00853D0A"/>
    <w:rsid w:val="008547B3"/>
    <w:rsid w:val="00854B45"/>
    <w:rsid w:val="00884132"/>
    <w:rsid w:val="00887BF3"/>
    <w:rsid w:val="00895085"/>
    <w:rsid w:val="00896527"/>
    <w:rsid w:val="008B2485"/>
    <w:rsid w:val="008B75BD"/>
    <w:rsid w:val="008C436F"/>
    <w:rsid w:val="008D7420"/>
    <w:rsid w:val="008D765B"/>
    <w:rsid w:val="008F41AB"/>
    <w:rsid w:val="00914505"/>
    <w:rsid w:val="00932019"/>
    <w:rsid w:val="00937B5A"/>
    <w:rsid w:val="00987CD7"/>
    <w:rsid w:val="00990C5B"/>
    <w:rsid w:val="009A65F6"/>
    <w:rsid w:val="009C5AD4"/>
    <w:rsid w:val="009D216B"/>
    <w:rsid w:val="009F4C01"/>
    <w:rsid w:val="00A05E82"/>
    <w:rsid w:val="00A200C4"/>
    <w:rsid w:val="00A216EC"/>
    <w:rsid w:val="00A361CB"/>
    <w:rsid w:val="00A479B6"/>
    <w:rsid w:val="00A532A4"/>
    <w:rsid w:val="00A53D94"/>
    <w:rsid w:val="00A66456"/>
    <w:rsid w:val="00AD6A84"/>
    <w:rsid w:val="00B10FDD"/>
    <w:rsid w:val="00B128BF"/>
    <w:rsid w:val="00B139DC"/>
    <w:rsid w:val="00B24346"/>
    <w:rsid w:val="00B27694"/>
    <w:rsid w:val="00B42EF3"/>
    <w:rsid w:val="00B50230"/>
    <w:rsid w:val="00B55799"/>
    <w:rsid w:val="00B741A9"/>
    <w:rsid w:val="00B8732B"/>
    <w:rsid w:val="00B90909"/>
    <w:rsid w:val="00BB574D"/>
    <w:rsid w:val="00BC18CE"/>
    <w:rsid w:val="00BC5644"/>
    <w:rsid w:val="00BC65AB"/>
    <w:rsid w:val="00BC795D"/>
    <w:rsid w:val="00BD2886"/>
    <w:rsid w:val="00BD36DA"/>
    <w:rsid w:val="00BE7352"/>
    <w:rsid w:val="00BF2666"/>
    <w:rsid w:val="00C07957"/>
    <w:rsid w:val="00C17E19"/>
    <w:rsid w:val="00C25977"/>
    <w:rsid w:val="00C3417C"/>
    <w:rsid w:val="00C341A7"/>
    <w:rsid w:val="00C373F1"/>
    <w:rsid w:val="00C37EFE"/>
    <w:rsid w:val="00C52256"/>
    <w:rsid w:val="00C60704"/>
    <w:rsid w:val="00C607E5"/>
    <w:rsid w:val="00C67227"/>
    <w:rsid w:val="00C83248"/>
    <w:rsid w:val="00C95FDE"/>
    <w:rsid w:val="00C97B7D"/>
    <w:rsid w:val="00CA5A94"/>
    <w:rsid w:val="00CB080D"/>
    <w:rsid w:val="00CC6C15"/>
    <w:rsid w:val="00CD0236"/>
    <w:rsid w:val="00CF0FDA"/>
    <w:rsid w:val="00D10024"/>
    <w:rsid w:val="00D14A19"/>
    <w:rsid w:val="00D30493"/>
    <w:rsid w:val="00D30B38"/>
    <w:rsid w:val="00D4308D"/>
    <w:rsid w:val="00D84ECC"/>
    <w:rsid w:val="00D93579"/>
    <w:rsid w:val="00DA0FEB"/>
    <w:rsid w:val="00DC38BD"/>
    <w:rsid w:val="00DC7C2A"/>
    <w:rsid w:val="00DD5F09"/>
    <w:rsid w:val="00DE01A2"/>
    <w:rsid w:val="00DE21EF"/>
    <w:rsid w:val="00DE32AA"/>
    <w:rsid w:val="00DE4872"/>
    <w:rsid w:val="00DE591E"/>
    <w:rsid w:val="00E01450"/>
    <w:rsid w:val="00E10B00"/>
    <w:rsid w:val="00E159BA"/>
    <w:rsid w:val="00E20DC3"/>
    <w:rsid w:val="00E27C03"/>
    <w:rsid w:val="00E35AAA"/>
    <w:rsid w:val="00E474E8"/>
    <w:rsid w:val="00E51250"/>
    <w:rsid w:val="00E755E5"/>
    <w:rsid w:val="00E80EED"/>
    <w:rsid w:val="00E83697"/>
    <w:rsid w:val="00E96BDE"/>
    <w:rsid w:val="00EA325A"/>
    <w:rsid w:val="00EB4087"/>
    <w:rsid w:val="00EF4554"/>
    <w:rsid w:val="00EF665C"/>
    <w:rsid w:val="00EF74BC"/>
    <w:rsid w:val="00EF7FE6"/>
    <w:rsid w:val="00F01834"/>
    <w:rsid w:val="00F045EA"/>
    <w:rsid w:val="00F14333"/>
    <w:rsid w:val="00F37B57"/>
    <w:rsid w:val="00F4110E"/>
    <w:rsid w:val="00F42327"/>
    <w:rsid w:val="00F442DB"/>
    <w:rsid w:val="00F50F76"/>
    <w:rsid w:val="00F64AF7"/>
    <w:rsid w:val="00F708FA"/>
    <w:rsid w:val="00F823AE"/>
    <w:rsid w:val="00F866AC"/>
    <w:rsid w:val="00F9063E"/>
    <w:rsid w:val="00FA062A"/>
    <w:rsid w:val="00FA2911"/>
    <w:rsid w:val="00FA7926"/>
    <w:rsid w:val="00FC0626"/>
    <w:rsid w:val="00FC40E4"/>
    <w:rsid w:val="00FD19EB"/>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uiPriority w:val="99"/>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B1181782DD9694413AF93DE20B6E41595C8C483FDC9E49432E8B569A339CB8DBD43084FBF8610FDA46C47BDDT5Y7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3091</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20669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77</cp:revision>
  <cp:lastPrinted>2025-11-06T15:13:00Z</cp:lastPrinted>
  <dcterms:created xsi:type="dcterms:W3CDTF">2014-11-10T12:47:00Z</dcterms:created>
  <dcterms:modified xsi:type="dcterms:W3CDTF">2025-11-06T15:13:00Z</dcterms:modified>
</cp:coreProperties>
</file>