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A20A4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9A7B37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6D8A" w:rsidRDefault="003E6D8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9A7B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="00DE71AE" w:rsidRPr="00DE71AE">
        <w:rPr>
          <w:b/>
          <w:sz w:val="28"/>
          <w:szCs w:val="28"/>
        </w:rPr>
        <w:t xml:space="preserve">»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="009A19CF"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="009A19CF"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AC54A8">
        <w:rPr>
          <w:sz w:val="28"/>
          <w:szCs w:val="28"/>
        </w:rPr>
        <w:t>муниципального управления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AC54A8" w:rsidRPr="00DE71AE" w:rsidRDefault="00AC54A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DE71AE">
        <w:rPr>
          <w:b/>
          <w:sz w:val="28"/>
          <w:szCs w:val="28"/>
        </w:rPr>
        <w:t xml:space="preserve">» 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C50FA3" w:rsidRPr="00DE71AE" w:rsidRDefault="00AC54A8" w:rsidP="00AC54A8">
      <w:pPr>
        <w:jc w:val="center"/>
      </w:pPr>
      <w:r w:rsidRPr="00DE71AE">
        <w:rPr>
          <w:b/>
        </w:rPr>
        <w:t xml:space="preserve"> </w:t>
      </w: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673F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="00673F4E">
              <w:rPr>
                <w:sz w:val="28"/>
                <w:szCs w:val="28"/>
              </w:rPr>
              <w:t xml:space="preserve"> финансов и экономического развития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8E434E" w:rsidRDefault="00AC54A8" w:rsidP="008E43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FD26EE">
              <w:rPr>
                <w:color w:val="000000"/>
                <w:sz w:val="28"/>
                <w:szCs w:val="28"/>
              </w:rPr>
              <w:t xml:space="preserve">оздание     условий для повышения эффективности бюджетных </w:t>
            </w:r>
            <w:r w:rsidR="004560E2">
              <w:rPr>
                <w:color w:val="000000"/>
                <w:sz w:val="28"/>
                <w:szCs w:val="28"/>
              </w:rPr>
              <w:t>доходов и расходов,</w:t>
            </w:r>
            <w:r w:rsidRPr="00FD26EE">
              <w:rPr>
                <w:color w:val="000000"/>
                <w:sz w:val="28"/>
                <w:szCs w:val="28"/>
              </w:rPr>
              <w:t xml:space="preserve"> качества управления  муниципальными    финансами в </w:t>
            </w:r>
            <w:r w:rsidR="009A7B37">
              <w:rPr>
                <w:sz w:val="28"/>
                <w:szCs w:val="28"/>
              </w:rPr>
              <w:t>Ахтанизовском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Темрюкского района</w:t>
            </w:r>
            <w:r w:rsidRPr="00FD26EE">
              <w:rPr>
                <w:color w:val="000000"/>
                <w:sz w:val="28"/>
                <w:szCs w:val="28"/>
              </w:rPr>
              <w:t>, повышения качества      фи</w:t>
            </w:r>
            <w:r w:rsidR="009A7B37">
              <w:rPr>
                <w:color w:val="000000"/>
                <w:sz w:val="28"/>
                <w:szCs w:val="28"/>
              </w:rPr>
              <w:t xml:space="preserve">нансового менеджмента в секторе </w:t>
            </w:r>
            <w:r w:rsidRPr="00FD26E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FD26EE">
              <w:rPr>
                <w:color w:val="000000"/>
                <w:sz w:val="28"/>
                <w:szCs w:val="28"/>
              </w:rPr>
              <w:t>правления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DF" w:rsidRPr="004560E2" w:rsidRDefault="00373250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D26EE">
              <w:rPr>
                <w:color w:val="000000"/>
                <w:sz w:val="28"/>
                <w:szCs w:val="28"/>
              </w:rPr>
              <w:t xml:space="preserve"> </w:t>
            </w:r>
            <w:r w:rsidR="004560E2">
              <w:rPr>
                <w:color w:val="000000"/>
                <w:sz w:val="28"/>
                <w:szCs w:val="28"/>
              </w:rPr>
              <w:t>обеспечение долгосрочной сбалансированности и устойчивости</w:t>
            </w:r>
            <w:r w:rsidRPr="00FD26EE">
              <w:rPr>
                <w:color w:val="000000"/>
                <w:sz w:val="28"/>
                <w:szCs w:val="28"/>
              </w:rPr>
              <w:t xml:space="preserve"> бюджета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FD26E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29" w:rsidRPr="00B3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увеличение объема налоговых и неналоговых доходов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8E434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8E434E">
              <w:rPr>
                <w:sz w:val="28"/>
                <w:szCs w:val="28"/>
              </w:rPr>
              <w:t>20</w:t>
            </w:r>
            <w:r w:rsidR="009A7B3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C53D2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BC53D2">
              <w:rPr>
                <w:sz w:val="28"/>
                <w:szCs w:val="28"/>
              </w:rPr>
              <w:t>4394,6</w:t>
            </w:r>
            <w:r w:rsidR="002274BC"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C25443" w:rsidP="00C25443">
      <w:pPr>
        <w:tabs>
          <w:tab w:val="left" w:pos="43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636DD" w:rsidRPr="00F636DD" w:rsidRDefault="00421D60" w:rsidP="00F636DD">
      <w:pPr>
        <w:jc w:val="center"/>
        <w:rPr>
          <w:b/>
          <w:sz w:val="28"/>
          <w:szCs w:val="28"/>
        </w:rPr>
      </w:pPr>
      <w:r w:rsidRPr="00F636DD">
        <w:rPr>
          <w:b/>
          <w:sz w:val="28"/>
          <w:szCs w:val="28"/>
        </w:rPr>
        <w:t xml:space="preserve">1. </w:t>
      </w:r>
      <w:r w:rsidR="00DE71AE" w:rsidRPr="00F636DD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F636DD" w:rsidRPr="00F636DD">
        <w:rPr>
          <w:b/>
          <w:sz w:val="28"/>
          <w:szCs w:val="28"/>
        </w:rPr>
        <w:t>муниципального управления</w:t>
      </w:r>
    </w:p>
    <w:p w:rsidR="005A3A59" w:rsidRPr="00DE71AE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Наполнен</w:t>
      </w:r>
      <w:r>
        <w:rPr>
          <w:color w:val="000000"/>
          <w:sz w:val="28"/>
          <w:szCs w:val="28"/>
        </w:rPr>
        <w:t xml:space="preserve">ие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 напрямую зависит от состояния экономики, а та</w:t>
      </w:r>
      <w:r>
        <w:rPr>
          <w:color w:val="000000"/>
          <w:sz w:val="28"/>
          <w:szCs w:val="28"/>
        </w:rPr>
        <w:t xml:space="preserve">кже от проводимой </w:t>
      </w:r>
      <w:r w:rsidRPr="005353CC">
        <w:rPr>
          <w:color w:val="000000"/>
          <w:sz w:val="28"/>
          <w:szCs w:val="28"/>
        </w:rPr>
        <w:t>налоговой и бюджетной политики.</w:t>
      </w:r>
    </w:p>
    <w:p w:rsidR="00F636DD" w:rsidRPr="00431F1E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431F1E">
        <w:rPr>
          <w:color w:val="000000"/>
          <w:sz w:val="28"/>
          <w:szCs w:val="28"/>
        </w:rPr>
        <w:t xml:space="preserve">Взвешенного подхода требует решение задачи по обеспечению долгосрочной сбалансированности и устойчивости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431F1E">
        <w:rPr>
          <w:color w:val="000000"/>
          <w:sz w:val="28"/>
          <w:szCs w:val="28"/>
        </w:rPr>
        <w:t>, основанное на среднесрочном и долгосрочном финансовом планировании. Формирование финансового плана на долгосрочную перспективу - задача, которую предстоит решить в рамках реализации муниципальной программы.</w:t>
      </w:r>
    </w:p>
    <w:p w:rsidR="00F636DD" w:rsidRPr="001A2E0B" w:rsidRDefault="00F636DD" w:rsidP="00C2544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A2E0B">
        <w:rPr>
          <w:sz w:val="28"/>
          <w:szCs w:val="28"/>
        </w:rPr>
        <w:t>С 201</w:t>
      </w:r>
      <w:r w:rsidR="00BC53D2">
        <w:rPr>
          <w:sz w:val="28"/>
          <w:szCs w:val="28"/>
        </w:rPr>
        <w:t>7</w:t>
      </w:r>
      <w:r w:rsidRPr="001A2E0B">
        <w:rPr>
          <w:sz w:val="28"/>
          <w:szCs w:val="28"/>
        </w:rPr>
        <w:t xml:space="preserve"> года темп роста доходов </w:t>
      </w:r>
      <w:r w:rsidR="001A2E0B" w:rsidRPr="001A2E0B">
        <w:rPr>
          <w:sz w:val="28"/>
          <w:szCs w:val="28"/>
        </w:rPr>
        <w:t>в бюджет</w:t>
      </w:r>
      <w:r w:rsidRPr="001A2E0B">
        <w:rPr>
          <w:sz w:val="28"/>
          <w:szCs w:val="28"/>
        </w:rPr>
        <w:t xml:space="preserve">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="00FB6A90">
        <w:rPr>
          <w:sz w:val="28"/>
          <w:szCs w:val="28"/>
        </w:rPr>
        <w:t xml:space="preserve"> </w:t>
      </w:r>
      <w:r w:rsidR="005E7E96">
        <w:rPr>
          <w:sz w:val="28"/>
          <w:szCs w:val="28"/>
        </w:rPr>
        <w:t xml:space="preserve">уменьшается </w:t>
      </w:r>
      <w:r w:rsidR="00FB6A90">
        <w:rPr>
          <w:sz w:val="28"/>
          <w:szCs w:val="28"/>
        </w:rPr>
        <w:t xml:space="preserve">в основном за счет безвозмездных поступлений. Получение собственных доходов </w:t>
      </w:r>
      <w:r w:rsidR="005E7E96">
        <w:rPr>
          <w:sz w:val="28"/>
          <w:szCs w:val="28"/>
        </w:rPr>
        <w:t>увеличивается</w:t>
      </w:r>
      <w:r w:rsidR="00FB6A90">
        <w:rPr>
          <w:sz w:val="28"/>
          <w:szCs w:val="28"/>
        </w:rPr>
        <w:t xml:space="preserve"> </w:t>
      </w:r>
      <w:r w:rsidRPr="001A2E0B">
        <w:rPr>
          <w:sz w:val="28"/>
          <w:szCs w:val="28"/>
        </w:rPr>
        <w:t>(таблица 1).</w:t>
      </w:r>
    </w:p>
    <w:p w:rsidR="00F636DD" w:rsidRPr="001A2E0B" w:rsidRDefault="00F636DD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  <w:r w:rsidRPr="001A2E0B">
        <w:rPr>
          <w:color w:val="000000"/>
          <w:sz w:val="28"/>
          <w:szCs w:val="28"/>
        </w:rPr>
        <w:lastRenderedPageBreak/>
        <w:t xml:space="preserve">Таблица 1.  Основные параметры бюджета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Pr="001A2E0B">
        <w:rPr>
          <w:color w:val="000000"/>
          <w:sz w:val="28"/>
          <w:szCs w:val="28"/>
        </w:rPr>
        <w:t>, тыс. рублей</w:t>
      </w:r>
    </w:p>
    <w:p w:rsidR="00C73590" w:rsidRPr="002274BC" w:rsidRDefault="00C73590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  <w:highlight w:val="yellow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1"/>
        <w:gridCol w:w="1857"/>
        <w:gridCol w:w="1800"/>
        <w:gridCol w:w="2006"/>
      </w:tblGrid>
      <w:tr w:rsidR="00F636DD" w:rsidRPr="002274BC">
        <w:trPr>
          <w:trHeight w:val="345"/>
          <w:tblHeader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Наименование показателя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673F4E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4560E2">
              <w:rPr>
                <w:color w:val="000000"/>
              </w:rPr>
              <w:t>7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1A2E0B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4560E2">
              <w:rPr>
                <w:color w:val="000000"/>
              </w:rPr>
              <w:t>8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FB6A90">
            <w:pPr>
              <w:keepNext/>
              <w:spacing w:before="40" w:after="40"/>
              <w:jc w:val="center"/>
              <w:rPr>
                <w:color w:val="000000"/>
              </w:rPr>
            </w:pPr>
            <w:r w:rsidRPr="001A2E0B">
              <w:rPr>
                <w:color w:val="000000"/>
              </w:rPr>
              <w:t>20</w:t>
            </w:r>
            <w:r w:rsidR="004560E2">
              <w:rPr>
                <w:color w:val="000000"/>
              </w:rPr>
              <w:t>19</w:t>
            </w:r>
            <w:r w:rsidRPr="001A2E0B">
              <w:rPr>
                <w:color w:val="000000"/>
              </w:rPr>
              <w:t xml:space="preserve"> год, прогноз</w:t>
            </w:r>
          </w:p>
        </w:tc>
      </w:tr>
      <w:tr w:rsidR="004560E2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1A2E0B" w:rsidRDefault="004560E2" w:rsidP="009F2FF8">
            <w:pPr>
              <w:keepNext/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Доходы </w:t>
            </w:r>
            <w:r w:rsidR="005E7E96">
              <w:rPr>
                <w:color w:val="000000"/>
              </w:rPr>
              <w:t>–</w:t>
            </w:r>
            <w:r w:rsidRPr="001A2E0B">
              <w:rPr>
                <w:color w:val="000000"/>
              </w:rPr>
              <w:t xml:space="preserve"> всего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7A21E4" w:rsidP="0060024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7A21E4">
              <w:t>31671,8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4560E2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29324,4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5E7E96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5E7E96">
              <w:rPr>
                <w:bCs/>
                <w:color w:val="000000"/>
              </w:rPr>
              <w:t>28159,2</w:t>
            </w:r>
          </w:p>
        </w:tc>
      </w:tr>
      <w:tr w:rsidR="004560E2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E2" w:rsidRPr="001A2E0B" w:rsidRDefault="004560E2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доходов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5E7E96" w:rsidP="0060024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98,8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1A2E0B" w:rsidRDefault="005E7E96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92,6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1A2E0B" w:rsidRDefault="002E2A10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96,0</w:t>
            </w:r>
          </w:p>
        </w:tc>
      </w:tr>
      <w:tr w:rsidR="005E7E96" w:rsidRPr="002274BC" w:rsidTr="005E7E96">
        <w:trPr>
          <w:trHeight w:val="398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96" w:rsidRPr="001A2E0B" w:rsidRDefault="005E7E96" w:rsidP="009F2FF8">
            <w:pPr>
              <w:spacing w:before="40" w:after="40"/>
              <w:rPr>
                <w:iCs/>
                <w:color w:val="000000"/>
              </w:rPr>
            </w:pPr>
            <w:r w:rsidRPr="003F0DDF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E96" w:rsidRDefault="005E7E96" w:rsidP="0060024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14200,5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E96" w:rsidRDefault="005E7E96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15954,6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E96" w:rsidRPr="001A2E0B" w:rsidRDefault="002E2A10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16285,6</w:t>
            </w:r>
          </w:p>
        </w:tc>
      </w:tr>
      <w:tr w:rsidR="004560E2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E2" w:rsidRPr="001A2E0B" w:rsidRDefault="004560E2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Безвозмездные поступления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4560E2" w:rsidP="0060024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7A21E4">
              <w:rPr>
                <w:bCs/>
                <w:color w:val="000000"/>
              </w:rPr>
              <w:t>17471,3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4560E2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13369,8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2E2A1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2E2A10">
              <w:rPr>
                <w:bCs/>
                <w:color w:val="000000"/>
              </w:rPr>
              <w:t>11873,6</w:t>
            </w:r>
          </w:p>
        </w:tc>
      </w:tr>
      <w:tr w:rsidR="004560E2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1A2E0B" w:rsidRDefault="004560E2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Расходы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7A21E4" w:rsidP="0060024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7A21E4">
              <w:t>34837,2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4560E2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26999,6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2E2A1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2E2A10">
              <w:rPr>
                <w:bCs/>
                <w:color w:val="000000"/>
              </w:rPr>
              <w:t>28774,0</w:t>
            </w:r>
          </w:p>
        </w:tc>
      </w:tr>
      <w:tr w:rsidR="004560E2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E2" w:rsidRPr="001A2E0B" w:rsidRDefault="004560E2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расходов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4560E2" w:rsidP="00600248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 w:rsidRPr="007A21E4">
              <w:rPr>
                <w:bCs/>
                <w:iCs/>
                <w:color w:val="000000"/>
              </w:rPr>
              <w:t>91,8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4560E2" w:rsidP="00514FBA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77,5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2E2A10" w:rsidP="009F2FF8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 w:rsidRPr="002E2A10">
              <w:rPr>
                <w:bCs/>
                <w:iCs/>
                <w:color w:val="000000"/>
              </w:rPr>
              <w:t>106,6</w:t>
            </w:r>
          </w:p>
        </w:tc>
      </w:tr>
      <w:tr w:rsidR="004560E2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1A2E0B" w:rsidRDefault="004560E2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Дефицит (-),  профицит (+)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7A21E4" w:rsidRDefault="004560E2" w:rsidP="0060024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7A21E4">
              <w:rPr>
                <w:bCs/>
                <w:color w:val="000000"/>
              </w:rPr>
              <w:t>-</w:t>
            </w:r>
            <w:r w:rsidR="007A21E4" w:rsidRPr="007A21E4">
              <w:t>3165,4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4560E2" w:rsidP="00382432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2324,8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0E2" w:rsidRPr="002274BC" w:rsidRDefault="002E2A1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2E2A10">
              <w:rPr>
                <w:bCs/>
                <w:color w:val="000000"/>
              </w:rPr>
              <w:t>-614,8</w:t>
            </w:r>
          </w:p>
        </w:tc>
      </w:tr>
    </w:tbl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жесткие бюджетные ограничения, органам </w:t>
      </w:r>
      <w:r>
        <w:rPr>
          <w:sz w:val="28"/>
          <w:szCs w:val="28"/>
        </w:rPr>
        <w:t>местного самоуправления</w:t>
      </w:r>
      <w:r w:rsidRPr="005353CC">
        <w:rPr>
          <w:sz w:val="28"/>
          <w:szCs w:val="28"/>
        </w:rPr>
        <w:t xml:space="preserve"> удается сбалансировать бюджет в соответствии с требованиями бюджетного законодательства.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355E61">
        <w:rPr>
          <w:color w:val="000000"/>
          <w:sz w:val="28"/>
          <w:szCs w:val="28"/>
        </w:rPr>
        <w:t xml:space="preserve">В структуре доходов бюджета </w:t>
      </w:r>
      <w:r w:rsidR="00C25443" w:rsidRPr="00355E61">
        <w:rPr>
          <w:color w:val="000000"/>
          <w:sz w:val="28"/>
          <w:szCs w:val="28"/>
        </w:rPr>
        <w:t xml:space="preserve">поселения </w:t>
      </w:r>
      <w:r w:rsidR="00B5457A" w:rsidRPr="00355E61">
        <w:rPr>
          <w:color w:val="000000"/>
          <w:sz w:val="28"/>
          <w:szCs w:val="28"/>
        </w:rPr>
        <w:t>на 20</w:t>
      </w:r>
      <w:r w:rsidR="002E2A10" w:rsidRPr="00355E61">
        <w:rPr>
          <w:color w:val="000000"/>
          <w:sz w:val="28"/>
          <w:szCs w:val="28"/>
        </w:rPr>
        <w:t>20</w:t>
      </w:r>
      <w:r w:rsidR="00B5457A" w:rsidRPr="00355E61">
        <w:rPr>
          <w:color w:val="000000"/>
          <w:sz w:val="28"/>
          <w:szCs w:val="28"/>
        </w:rPr>
        <w:t xml:space="preserve"> год </w:t>
      </w:r>
      <w:r w:rsidRPr="00355E61">
        <w:rPr>
          <w:color w:val="000000"/>
          <w:sz w:val="28"/>
          <w:szCs w:val="28"/>
        </w:rPr>
        <w:t>доминируют налоговые и неналоговые доходы</w:t>
      </w:r>
      <w:r w:rsidR="00C25443" w:rsidRPr="00355E61">
        <w:rPr>
          <w:color w:val="000000"/>
          <w:sz w:val="28"/>
          <w:szCs w:val="28"/>
        </w:rPr>
        <w:t xml:space="preserve"> </w:t>
      </w:r>
      <w:r w:rsidRPr="00355E61">
        <w:rPr>
          <w:color w:val="000000"/>
          <w:sz w:val="28"/>
          <w:szCs w:val="28"/>
        </w:rPr>
        <w:t xml:space="preserve"> (таблица 2).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Default="00F636DD" w:rsidP="00B10FA6">
      <w:pPr>
        <w:keepNext/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 xml:space="preserve">. Структура доходов бюджета </w:t>
      </w:r>
      <w:r w:rsidR="009A7B37">
        <w:rPr>
          <w:sz w:val="28"/>
          <w:szCs w:val="28"/>
        </w:rPr>
        <w:t>Ахтанизовского</w:t>
      </w:r>
      <w:r w:rsidR="00B10FA6">
        <w:rPr>
          <w:sz w:val="28"/>
          <w:szCs w:val="28"/>
        </w:rPr>
        <w:t xml:space="preserve"> </w:t>
      </w:r>
      <w:r w:rsidR="005603DA" w:rsidRPr="00074972">
        <w:rPr>
          <w:sz w:val="28"/>
          <w:szCs w:val="28"/>
        </w:rPr>
        <w:t>сельского поселения Темрюкского района</w:t>
      </w:r>
      <w:r w:rsidR="005603DA">
        <w:rPr>
          <w:color w:val="000000"/>
          <w:sz w:val="28"/>
          <w:szCs w:val="28"/>
        </w:rPr>
        <w:t xml:space="preserve">, </w:t>
      </w:r>
      <w:r w:rsidRPr="00C659CB">
        <w:rPr>
          <w:color w:val="000000"/>
          <w:sz w:val="28"/>
          <w:szCs w:val="28"/>
        </w:rPr>
        <w:t>в %</w:t>
      </w:r>
    </w:p>
    <w:p w:rsidR="00C73590" w:rsidRPr="00C659CB" w:rsidRDefault="00C73590" w:rsidP="00B10FA6">
      <w:pPr>
        <w:keepNext/>
        <w:suppressAutoHyphens/>
        <w:jc w:val="both"/>
        <w:rPr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7"/>
        <w:gridCol w:w="1418"/>
        <w:gridCol w:w="1559"/>
        <w:gridCol w:w="1634"/>
        <w:gridCol w:w="1800"/>
      </w:tblGrid>
      <w:tr w:rsidR="00DC703F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9F2FF8">
            <w:pPr>
              <w:spacing w:before="40" w:after="40"/>
              <w:jc w:val="center"/>
              <w:rPr>
                <w:color w:val="000000"/>
              </w:rPr>
            </w:pPr>
            <w:r w:rsidRPr="003F0DDF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512D49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 w:rsidR="005E7E96">
              <w:rPr>
                <w:color w:val="000000"/>
              </w:rPr>
              <w:t>7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DC703F" w:rsidP="00512D49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 w:rsidR="005E7E96">
              <w:rPr>
                <w:color w:val="000000"/>
              </w:rPr>
              <w:t>8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3F" w:rsidRPr="003F0DDF" w:rsidRDefault="005E7E96" w:rsidP="00FB6A90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Прогноз </w:t>
            </w:r>
            <w:r w:rsidR="00DC703F" w:rsidRPr="003F0DDF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="00DC703F" w:rsidRPr="003F0DDF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F0DDF" w:rsidRDefault="005E7E96" w:rsidP="00FB6A90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 2020</w:t>
            </w:r>
            <w:r w:rsidR="00DC703F" w:rsidRPr="003F0DDF">
              <w:rPr>
                <w:color w:val="000000"/>
              </w:rPr>
              <w:t xml:space="preserve"> год</w:t>
            </w:r>
          </w:p>
        </w:tc>
      </w:tr>
      <w:tr w:rsidR="00DC703F" w:rsidRPr="002274BC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</w:t>
            </w:r>
            <w:r w:rsidR="005E7E96">
              <w:rPr>
                <w:bCs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5E7E96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2E2A10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61" w:rsidRPr="00355E61" w:rsidRDefault="00355E61" w:rsidP="009F2FF8">
            <w:pPr>
              <w:spacing w:before="40" w:after="40"/>
              <w:jc w:val="right"/>
              <w:rPr>
                <w:bCs/>
                <w:color w:val="000000"/>
              </w:rPr>
            </w:pPr>
          </w:p>
          <w:p w:rsidR="00DC703F" w:rsidRPr="00355E61" w:rsidRDefault="00355E61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55E61">
              <w:rPr>
                <w:bCs/>
                <w:color w:val="000000"/>
              </w:rPr>
              <w:t>58,0</w:t>
            </w:r>
          </w:p>
        </w:tc>
      </w:tr>
      <w:tr w:rsidR="00DC703F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55,</w:t>
            </w:r>
            <w:r w:rsidR="005E7E96"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5E7E96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2E2A10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55E61" w:rsidRDefault="00355E61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55E61">
              <w:rPr>
                <w:bCs/>
                <w:color w:val="000000"/>
              </w:rPr>
              <w:t>42,0</w:t>
            </w:r>
          </w:p>
        </w:tc>
      </w:tr>
      <w:tr w:rsidR="00DC703F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512D49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3F" w:rsidRPr="003F0DDF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3F" w:rsidRPr="00355E61" w:rsidRDefault="00DC703F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55E61">
              <w:rPr>
                <w:bCs/>
                <w:color w:val="000000"/>
              </w:rPr>
              <w:t>100,0</w:t>
            </w:r>
          </w:p>
        </w:tc>
      </w:tr>
    </w:tbl>
    <w:p w:rsidR="00C25443" w:rsidRDefault="00C25443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Основная часть поступлений налоговых и неналоговых доходов консолидированного бюджета </w:t>
      </w:r>
      <w:r w:rsidR="00B10FA6">
        <w:rPr>
          <w:sz w:val="28"/>
          <w:szCs w:val="28"/>
        </w:rPr>
        <w:t>Ахтанизовского</w:t>
      </w:r>
      <w:r w:rsidR="001915D7" w:rsidRPr="00074972">
        <w:rPr>
          <w:sz w:val="28"/>
          <w:szCs w:val="28"/>
        </w:rPr>
        <w:t xml:space="preserve"> сельского поселения Темрюкского района</w:t>
      </w:r>
      <w:r w:rsidR="001915D7" w:rsidRPr="00C659CB">
        <w:rPr>
          <w:color w:val="000000"/>
          <w:sz w:val="28"/>
          <w:szCs w:val="28"/>
        </w:rPr>
        <w:t xml:space="preserve"> </w:t>
      </w:r>
      <w:r w:rsidRPr="00C659CB">
        <w:rPr>
          <w:color w:val="000000"/>
          <w:sz w:val="28"/>
          <w:szCs w:val="28"/>
        </w:rPr>
        <w:t xml:space="preserve">обеспечена поступлениями </w:t>
      </w:r>
      <w:r w:rsidR="00C25443">
        <w:rPr>
          <w:color w:val="000000"/>
          <w:sz w:val="28"/>
          <w:szCs w:val="28"/>
        </w:rPr>
        <w:t>местных налогов.</w:t>
      </w:r>
    </w:p>
    <w:p w:rsidR="00F636DD" w:rsidRPr="00760571" w:rsidRDefault="00F636DD" w:rsidP="00F636DD">
      <w:pPr>
        <w:ind w:firstLine="540"/>
        <w:jc w:val="both"/>
        <w:rPr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в условиях ограниченности ресурсов. </w:t>
      </w:r>
    </w:p>
    <w:p w:rsidR="00F636DD" w:rsidRDefault="000D19F9" w:rsidP="00F636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</w:t>
      </w:r>
      <w:r w:rsidR="00F636DD" w:rsidRPr="00760571">
        <w:rPr>
          <w:color w:val="000000"/>
          <w:sz w:val="28"/>
          <w:szCs w:val="28"/>
        </w:rPr>
        <w:t xml:space="preserve"> бюджета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="00F636DD" w:rsidRPr="00760571">
        <w:rPr>
          <w:color w:val="000000"/>
          <w:sz w:val="28"/>
          <w:szCs w:val="28"/>
        </w:rPr>
        <w:t xml:space="preserve">на основе программно-целевых принципов предъявляет </w:t>
      </w:r>
      <w:r w:rsidR="00F636DD" w:rsidRPr="00760571">
        <w:rPr>
          <w:color w:val="000000"/>
          <w:sz w:val="28"/>
          <w:szCs w:val="28"/>
        </w:rPr>
        <w:lastRenderedPageBreak/>
        <w:t>дополнительные требования к его устойчивости, гарантированному обеспечению финансовыми ресурсами действующих расходных обязательств</w:t>
      </w:r>
      <w:r>
        <w:rPr>
          <w:color w:val="000000"/>
          <w:sz w:val="28"/>
          <w:szCs w:val="28"/>
        </w:rPr>
        <w:t xml:space="preserve">, </w:t>
      </w:r>
      <w:r w:rsidR="00F636DD" w:rsidRPr="00760571">
        <w:rPr>
          <w:color w:val="000000"/>
          <w:sz w:val="28"/>
          <w:szCs w:val="28"/>
        </w:rPr>
        <w:t xml:space="preserve">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DA5253">
        <w:rPr>
          <w:color w:val="000000"/>
          <w:sz w:val="28"/>
          <w:szCs w:val="28"/>
        </w:rPr>
        <w:t>поселения</w:t>
      </w:r>
      <w:r w:rsidR="00F636DD" w:rsidRPr="00760571">
        <w:rPr>
          <w:color w:val="000000"/>
          <w:sz w:val="28"/>
          <w:szCs w:val="28"/>
        </w:rPr>
        <w:t>.</w:t>
      </w:r>
      <w:r w:rsidR="00F636DD" w:rsidRPr="005353CC">
        <w:rPr>
          <w:color w:val="000000"/>
          <w:sz w:val="28"/>
          <w:szCs w:val="28"/>
        </w:rPr>
        <w:t xml:space="preserve"> </w:t>
      </w: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>управления еще не завершен. Сформулированные стратегические цели и задачи социально-экономического развития требуют продолжения и углубле</w:t>
      </w:r>
      <w:bookmarkStart w:id="0" w:name="_GoBack"/>
      <w:bookmarkEnd w:id="0"/>
      <w:r w:rsidRPr="005353CC">
        <w:rPr>
          <w:sz w:val="28"/>
          <w:szCs w:val="28"/>
        </w:rPr>
        <w:t xml:space="preserve">ния бюджетных реформ с выходом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 xml:space="preserve">управления на качественно новый уровень. 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Обеспечение долгосрочной сбалансированности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5353CC">
        <w:rPr>
          <w:color w:val="000000"/>
          <w:sz w:val="28"/>
          <w:szCs w:val="28"/>
        </w:rPr>
        <w:t>является важнейшей предпосылкой финансового обеспечения принятых расходных об</w:t>
      </w:r>
      <w:r>
        <w:rPr>
          <w:color w:val="000000"/>
          <w:sz w:val="28"/>
          <w:szCs w:val="28"/>
        </w:rPr>
        <w:t xml:space="preserve">язательств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>, создает базовые условия для социально-экономическог</w:t>
      </w:r>
      <w:r>
        <w:rPr>
          <w:color w:val="000000"/>
          <w:sz w:val="28"/>
          <w:szCs w:val="28"/>
        </w:rPr>
        <w:t xml:space="preserve">о развития </w:t>
      </w:r>
      <w:r w:rsidR="00DA5253">
        <w:rPr>
          <w:color w:val="000000"/>
          <w:sz w:val="28"/>
          <w:szCs w:val="28"/>
        </w:rPr>
        <w:t>поселения</w:t>
      </w:r>
      <w:r w:rsidRPr="005353CC">
        <w:rPr>
          <w:color w:val="000000"/>
          <w:sz w:val="28"/>
          <w:szCs w:val="28"/>
        </w:rPr>
        <w:t>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 xml:space="preserve">Система </w:t>
      </w:r>
      <w:r w:rsidR="00DA5253">
        <w:rPr>
          <w:color w:val="000000"/>
          <w:sz w:val="28"/>
          <w:szCs w:val="28"/>
        </w:rPr>
        <w:t xml:space="preserve">муниципального </w:t>
      </w:r>
      <w:r w:rsidRPr="005353CC">
        <w:rPr>
          <w:color w:val="000000"/>
          <w:sz w:val="28"/>
          <w:szCs w:val="28"/>
        </w:rPr>
        <w:t>управления является инструм</w:t>
      </w:r>
      <w:r>
        <w:rPr>
          <w:color w:val="000000"/>
          <w:sz w:val="28"/>
          <w:szCs w:val="28"/>
        </w:rPr>
        <w:t>ентом реализации муниципальной</w:t>
      </w:r>
      <w:r w:rsidRPr="005353CC">
        <w:rPr>
          <w:color w:val="000000"/>
          <w:sz w:val="28"/>
          <w:szCs w:val="28"/>
        </w:rPr>
        <w:t xml:space="preserve"> социально-экономической политики. От эффективности этой системы во многом зависи</w:t>
      </w:r>
      <w:r>
        <w:rPr>
          <w:color w:val="000000"/>
          <w:sz w:val="28"/>
          <w:szCs w:val="28"/>
        </w:rPr>
        <w:t xml:space="preserve">т </w:t>
      </w:r>
      <w:r w:rsidRPr="005353CC">
        <w:rPr>
          <w:color w:val="000000"/>
          <w:sz w:val="28"/>
          <w:szCs w:val="28"/>
        </w:rPr>
        <w:t>уров</w:t>
      </w:r>
      <w:r w:rsidR="00DA5253">
        <w:rPr>
          <w:color w:val="000000"/>
          <w:sz w:val="28"/>
          <w:szCs w:val="28"/>
        </w:rPr>
        <w:t>ень</w:t>
      </w:r>
      <w:r w:rsidRPr="005353CC">
        <w:rPr>
          <w:color w:val="000000"/>
          <w:sz w:val="28"/>
          <w:szCs w:val="28"/>
        </w:rPr>
        <w:t xml:space="preserve"> и качеств</w:t>
      </w:r>
      <w:r w:rsidR="00DA5253">
        <w:rPr>
          <w:color w:val="000000"/>
          <w:sz w:val="28"/>
          <w:szCs w:val="28"/>
        </w:rPr>
        <w:t>о</w:t>
      </w:r>
      <w:r w:rsidRPr="005353CC">
        <w:rPr>
          <w:color w:val="000000"/>
          <w:sz w:val="28"/>
          <w:szCs w:val="28"/>
        </w:rPr>
        <w:t xml:space="preserve"> жизни населения, устойчивый экономический рост, модернизация экономики и социальной сферы.</w:t>
      </w:r>
    </w:p>
    <w:p w:rsidR="00F636DD" w:rsidRPr="005353CC" w:rsidRDefault="002E2A10" w:rsidP="00F636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подпрограммы</w:t>
      </w:r>
      <w:r w:rsidR="00F636DD" w:rsidRPr="005353CC">
        <w:rPr>
          <w:color w:val="000000"/>
          <w:sz w:val="28"/>
          <w:szCs w:val="28"/>
        </w:rPr>
        <w:t>:</w:t>
      </w:r>
    </w:p>
    <w:p w:rsidR="00F636DD" w:rsidRPr="005353CC" w:rsidRDefault="002E2A10" w:rsidP="002E2A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636DD" w:rsidRPr="005353CC">
        <w:rPr>
          <w:color w:val="000000"/>
          <w:sz w:val="28"/>
          <w:szCs w:val="28"/>
        </w:rPr>
        <w:t>соз</w:t>
      </w:r>
      <w:r w:rsidR="00C25443">
        <w:rPr>
          <w:color w:val="000000"/>
          <w:sz w:val="28"/>
          <w:szCs w:val="28"/>
        </w:rPr>
        <w:t xml:space="preserve">дание  </w:t>
      </w:r>
      <w:r w:rsidR="00F636DD" w:rsidRPr="005353CC">
        <w:rPr>
          <w:color w:val="000000"/>
          <w:sz w:val="28"/>
          <w:szCs w:val="28"/>
        </w:rPr>
        <w:t xml:space="preserve"> условий для повышения эффективности бюджетных </w:t>
      </w:r>
      <w:r>
        <w:rPr>
          <w:color w:val="000000"/>
          <w:sz w:val="28"/>
          <w:szCs w:val="28"/>
        </w:rPr>
        <w:t>доходов и расходов,</w:t>
      </w:r>
      <w:r w:rsidR="00F636DD" w:rsidRPr="005353CC">
        <w:rPr>
          <w:color w:val="000000"/>
          <w:sz w:val="28"/>
          <w:szCs w:val="28"/>
        </w:rPr>
        <w:t xml:space="preserve"> качест</w:t>
      </w:r>
      <w:r w:rsidR="00F636DD">
        <w:rPr>
          <w:color w:val="000000"/>
          <w:sz w:val="28"/>
          <w:szCs w:val="28"/>
        </w:rPr>
        <w:t xml:space="preserve">ва управления </w:t>
      </w:r>
      <w:r w:rsidR="00C25443">
        <w:rPr>
          <w:color w:val="000000"/>
          <w:sz w:val="28"/>
          <w:szCs w:val="28"/>
        </w:rPr>
        <w:t xml:space="preserve"> муниципальными</w:t>
      </w:r>
      <w:r w:rsidR="00F636DD" w:rsidRPr="005353CC">
        <w:rPr>
          <w:color w:val="000000"/>
          <w:sz w:val="28"/>
          <w:szCs w:val="28"/>
        </w:rPr>
        <w:t xml:space="preserve"> ф</w:t>
      </w:r>
      <w:r w:rsidR="00F636DD">
        <w:rPr>
          <w:color w:val="000000"/>
          <w:sz w:val="28"/>
          <w:szCs w:val="28"/>
        </w:rPr>
        <w:t xml:space="preserve">инансами в </w:t>
      </w:r>
      <w:r w:rsidR="00C25443">
        <w:rPr>
          <w:sz w:val="28"/>
          <w:szCs w:val="28"/>
        </w:rPr>
        <w:t>Ахтанизовском</w:t>
      </w:r>
      <w:r w:rsidR="00C25443" w:rsidRPr="00074972">
        <w:rPr>
          <w:sz w:val="28"/>
          <w:szCs w:val="28"/>
        </w:rPr>
        <w:t xml:space="preserve"> </w:t>
      </w:r>
      <w:r w:rsidR="00DA5253" w:rsidRPr="00074972">
        <w:rPr>
          <w:sz w:val="28"/>
          <w:szCs w:val="28"/>
        </w:rPr>
        <w:t>сельско</w:t>
      </w:r>
      <w:r w:rsidR="00DA5253">
        <w:rPr>
          <w:sz w:val="28"/>
          <w:szCs w:val="28"/>
        </w:rPr>
        <w:t>м</w:t>
      </w:r>
      <w:r w:rsidR="00DA5253" w:rsidRPr="00074972">
        <w:rPr>
          <w:sz w:val="28"/>
          <w:szCs w:val="28"/>
        </w:rPr>
        <w:t xml:space="preserve"> поселени</w:t>
      </w:r>
      <w:r w:rsidR="00DA5253">
        <w:rPr>
          <w:sz w:val="28"/>
          <w:szCs w:val="28"/>
        </w:rPr>
        <w:t>и</w:t>
      </w:r>
      <w:r w:rsidR="00DA5253" w:rsidRPr="00074972">
        <w:rPr>
          <w:sz w:val="28"/>
          <w:szCs w:val="28"/>
        </w:rPr>
        <w:t xml:space="preserve"> Темрюкского района</w:t>
      </w:r>
      <w:r w:rsidR="00F636DD" w:rsidRPr="005353CC">
        <w:rPr>
          <w:color w:val="000000"/>
          <w:sz w:val="28"/>
          <w:szCs w:val="28"/>
        </w:rPr>
        <w:t>, повышения качества финансового менеджмента в секто</w:t>
      </w:r>
      <w:r w:rsidR="00F636DD">
        <w:rPr>
          <w:color w:val="000000"/>
          <w:sz w:val="28"/>
          <w:szCs w:val="28"/>
        </w:rPr>
        <w:t>ре муниципального</w:t>
      </w:r>
      <w:r>
        <w:rPr>
          <w:color w:val="000000"/>
          <w:sz w:val="28"/>
          <w:szCs w:val="28"/>
        </w:rPr>
        <w:t xml:space="preserve">  управления.</w:t>
      </w:r>
    </w:p>
    <w:p w:rsidR="00F636DD" w:rsidRPr="005353CC" w:rsidRDefault="002E2A10" w:rsidP="00F636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Задача подпрограммы</w:t>
      </w:r>
      <w:r w:rsidR="00F636DD" w:rsidRPr="005353CC">
        <w:rPr>
          <w:color w:val="000000"/>
          <w:sz w:val="28"/>
          <w:szCs w:val="28"/>
        </w:rPr>
        <w:t>: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</w:t>
      </w:r>
      <w:r w:rsidR="002E2A10">
        <w:rPr>
          <w:color w:val="000000"/>
          <w:sz w:val="28"/>
          <w:szCs w:val="28"/>
        </w:rPr>
        <w:t>обеспечение долгосрочной сбалансированности и устойчивости</w:t>
      </w:r>
      <w:r w:rsidR="002E2A10" w:rsidRPr="00FD26EE">
        <w:rPr>
          <w:color w:val="000000"/>
          <w:sz w:val="28"/>
          <w:szCs w:val="28"/>
        </w:rPr>
        <w:t xml:space="preserve"> бюджета </w:t>
      </w:r>
      <w:r w:rsidR="002E2A10">
        <w:rPr>
          <w:sz w:val="28"/>
          <w:szCs w:val="28"/>
        </w:rPr>
        <w:t>Ахтанизовского</w:t>
      </w:r>
      <w:r w:rsidR="002E2A10"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2E2A10">
        <w:rPr>
          <w:color w:val="000000"/>
          <w:sz w:val="28"/>
          <w:szCs w:val="28"/>
        </w:rPr>
        <w:t>.</w:t>
      </w:r>
    </w:p>
    <w:p w:rsidR="00476B6A" w:rsidRPr="00FC0477" w:rsidRDefault="001A0DDD" w:rsidP="00F31687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в </w:t>
      </w:r>
      <w:r w:rsidR="00476B6A" w:rsidRPr="00FC0477">
        <w:rPr>
          <w:sz w:val="28"/>
          <w:szCs w:val="28"/>
        </w:rPr>
        <w:t>приложении № 1 к подпрограмме.</w:t>
      </w:r>
    </w:p>
    <w:p w:rsidR="00CC10D6" w:rsidRPr="00FC0477" w:rsidRDefault="00B027E8" w:rsidP="00450BD5">
      <w:pPr>
        <w:pStyle w:val="14"/>
        <w:spacing w:after="0"/>
        <w:rPr>
          <w:color w:val="auto"/>
        </w:rPr>
      </w:pPr>
      <w:r w:rsidRPr="00FC0477">
        <w:rPr>
          <w:color w:val="auto"/>
        </w:rPr>
        <w:t xml:space="preserve">        Срок реализации </w:t>
      </w:r>
      <w:r w:rsidR="00A45DDA" w:rsidRPr="00FC0477">
        <w:rPr>
          <w:color w:val="auto"/>
        </w:rPr>
        <w:t>подп</w:t>
      </w:r>
      <w:r w:rsidRPr="00FC0477">
        <w:rPr>
          <w:color w:val="auto"/>
        </w:rPr>
        <w:t>рограммы</w:t>
      </w:r>
      <w:r w:rsidR="00450BD5" w:rsidRPr="00FC0477">
        <w:rPr>
          <w:color w:val="auto"/>
        </w:rPr>
        <w:t xml:space="preserve"> </w:t>
      </w:r>
      <w:r w:rsidR="002274BC">
        <w:rPr>
          <w:color w:val="auto"/>
        </w:rPr>
        <w:t>20</w:t>
      </w:r>
      <w:r w:rsidR="002E2A10">
        <w:rPr>
          <w:color w:val="auto"/>
        </w:rPr>
        <w:t>20</w:t>
      </w:r>
      <w:r w:rsidR="00A45DDA" w:rsidRPr="00FC0477">
        <w:rPr>
          <w:color w:val="auto"/>
        </w:rPr>
        <w:t xml:space="preserve"> год</w:t>
      </w:r>
      <w:r w:rsidR="00F21401" w:rsidRPr="00FC0477">
        <w:rPr>
          <w:color w:val="auto"/>
        </w:rPr>
        <w:t xml:space="preserve">. </w:t>
      </w:r>
    </w:p>
    <w:p w:rsidR="009C6F19" w:rsidRPr="00FC0477" w:rsidRDefault="009C6F19" w:rsidP="00450BD5">
      <w:pPr>
        <w:pStyle w:val="14"/>
        <w:spacing w:after="0"/>
        <w:rPr>
          <w:color w:val="auto"/>
        </w:rPr>
      </w:pPr>
    </w:p>
    <w:p w:rsidR="00450BD5" w:rsidRPr="00FC0477" w:rsidRDefault="00450BD5" w:rsidP="00450BD5">
      <w:pPr>
        <w:jc w:val="center"/>
        <w:rPr>
          <w:b/>
          <w:sz w:val="28"/>
          <w:szCs w:val="28"/>
        </w:rPr>
      </w:pPr>
      <w:r w:rsidRPr="00FC0477">
        <w:rPr>
          <w:b/>
          <w:sz w:val="28"/>
          <w:szCs w:val="28"/>
        </w:rPr>
        <w:t>3.</w:t>
      </w:r>
      <w:r w:rsidRPr="00FC0477">
        <w:rPr>
          <w:szCs w:val="28"/>
        </w:rPr>
        <w:t xml:space="preserve"> </w:t>
      </w:r>
      <w:r w:rsidRPr="00FC0477">
        <w:rPr>
          <w:b/>
          <w:sz w:val="28"/>
          <w:szCs w:val="28"/>
        </w:rPr>
        <w:t xml:space="preserve">Перечень мероприятий </w:t>
      </w:r>
      <w:r w:rsidR="00A45DDA" w:rsidRPr="00FC0477">
        <w:rPr>
          <w:b/>
          <w:sz w:val="28"/>
          <w:szCs w:val="28"/>
        </w:rPr>
        <w:t>под</w:t>
      </w:r>
      <w:r w:rsidRPr="00FC0477">
        <w:rPr>
          <w:b/>
          <w:sz w:val="28"/>
          <w:szCs w:val="28"/>
        </w:rPr>
        <w:t>программы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В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программе предусматривается реализация комплекса взаимосвязанных мероприятий, на</w:t>
      </w:r>
      <w:r w:rsidR="002E2A10">
        <w:rPr>
          <w:rFonts w:ascii="Times New Roman" w:hAnsi="Times New Roman" w:cs="Times New Roman"/>
          <w:sz w:val="28"/>
          <w:szCs w:val="28"/>
        </w:rPr>
        <w:t>правленных на решение конкретной</w:t>
      </w:r>
      <w:r w:rsidRPr="00FC0477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2E2A10">
        <w:rPr>
          <w:rFonts w:ascii="Times New Roman" w:hAnsi="Times New Roman" w:cs="Times New Roman"/>
          <w:sz w:val="28"/>
          <w:szCs w:val="28"/>
        </w:rPr>
        <w:t>и</w:t>
      </w:r>
      <w:r w:rsidRPr="00FC0477">
        <w:rPr>
          <w:rFonts w:ascii="Times New Roman" w:hAnsi="Times New Roman" w:cs="Times New Roman"/>
          <w:sz w:val="28"/>
          <w:szCs w:val="28"/>
        </w:rPr>
        <w:t>.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lastRenderedPageBreak/>
        <w:t xml:space="preserve">- приоритет конечных целей: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рассматриваться как инструмент, обеспечивающий деятельность администрации, а не как конечный результат;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Pr="00FC0477" w:rsidRDefault="00450BD5" w:rsidP="00450BD5">
      <w:pPr>
        <w:ind w:firstLine="851"/>
        <w:jc w:val="both"/>
        <w:rPr>
          <w:sz w:val="28"/>
          <w:szCs w:val="28"/>
        </w:rPr>
      </w:pPr>
      <w:r w:rsidRPr="00FC0477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FC0477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476B6A" w:rsidRPr="00FC0477">
        <w:rPr>
          <w:sz w:val="28"/>
          <w:szCs w:val="28"/>
        </w:rPr>
        <w:t>2</w:t>
      </w:r>
      <w:r w:rsidRPr="00FC0477">
        <w:rPr>
          <w:sz w:val="28"/>
          <w:szCs w:val="28"/>
        </w:rPr>
        <w:t xml:space="preserve"> к </w:t>
      </w:r>
      <w:r w:rsidR="00D06A26" w:rsidRPr="00FC0477">
        <w:rPr>
          <w:sz w:val="28"/>
          <w:szCs w:val="28"/>
        </w:rPr>
        <w:t>под</w:t>
      </w:r>
      <w:r w:rsidRPr="00FC0477">
        <w:rPr>
          <w:sz w:val="28"/>
          <w:szCs w:val="28"/>
        </w:rPr>
        <w:t>программе.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450BD5" w:rsidRPr="00FC0477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E445B8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E445B8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AC762B">
        <w:rPr>
          <w:sz w:val="28"/>
          <w:szCs w:val="28"/>
        </w:rPr>
        <w:t>4394,6</w:t>
      </w:r>
      <w:r w:rsidRPr="005959DE">
        <w:rPr>
          <w:sz w:val="28"/>
          <w:szCs w:val="28"/>
        </w:rPr>
        <w:t xml:space="preserve"> тыс. рублей, 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2274BC" w:rsidRPr="00B143CB" w:rsidTr="002274BC">
        <w:trPr>
          <w:trHeight w:val="858"/>
        </w:trPr>
        <w:tc>
          <w:tcPr>
            <w:tcW w:w="4248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2274BC" w:rsidRPr="00B143CB" w:rsidRDefault="002274BC" w:rsidP="002E2A10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</w:t>
            </w:r>
            <w:r w:rsidR="00DC703F">
              <w:t>20</w:t>
            </w:r>
            <w:r w:rsidR="002E2A10">
              <w:t>20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73590" w:rsidRPr="00C73590" w:rsidTr="00514FBA">
        <w:tc>
          <w:tcPr>
            <w:tcW w:w="4248" w:type="dxa"/>
            <w:shd w:val="clear" w:color="auto" w:fill="auto"/>
          </w:tcPr>
          <w:p w:rsidR="00C73590" w:rsidRPr="00C73590" w:rsidRDefault="00C73590" w:rsidP="00B143CB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73590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  <w:shd w:val="clear" w:color="auto" w:fill="auto"/>
          </w:tcPr>
          <w:p w:rsidR="00C73590" w:rsidRPr="00C73590" w:rsidRDefault="00C73590" w:rsidP="00B143CB">
            <w:pPr>
              <w:jc w:val="both"/>
            </w:pPr>
            <w:r w:rsidRPr="00C7359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C73590" w:rsidRPr="00C73590" w:rsidRDefault="00AC762B" w:rsidP="00C73590">
            <w:pPr>
              <w:jc w:val="center"/>
            </w:pPr>
            <w:r>
              <w:t>4394,6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1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1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2274BC" w:rsidRDefault="002274BC" w:rsidP="002274BC">
      <w:pPr>
        <w:pStyle w:val="a8"/>
        <w:ind w:right="-82"/>
        <w:jc w:val="both"/>
        <w:rPr>
          <w:szCs w:val="28"/>
        </w:rPr>
      </w:pPr>
      <w:r>
        <w:rPr>
          <w:szCs w:val="28"/>
        </w:rPr>
        <w:t>Начальник отдела финансов</w:t>
      </w:r>
    </w:p>
    <w:p w:rsidR="002274BC" w:rsidRPr="00B35E33" w:rsidRDefault="002274BC" w:rsidP="002274BC">
      <w:pPr>
        <w:pStyle w:val="a8"/>
        <w:ind w:right="-82"/>
        <w:jc w:val="both"/>
      </w:pPr>
      <w:r>
        <w:rPr>
          <w:szCs w:val="28"/>
        </w:rPr>
        <w:t>и экономического развития                                                         А.В. Плотникова</w:t>
      </w:r>
    </w:p>
    <w:p w:rsidR="0072131A" w:rsidRPr="00B35E33" w:rsidRDefault="0072131A" w:rsidP="002274BC">
      <w:pPr>
        <w:pStyle w:val="a8"/>
        <w:ind w:right="-82"/>
        <w:jc w:val="both"/>
      </w:pP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2C5" w:rsidRDefault="00C262C5">
      <w:r>
        <w:separator/>
      </w:r>
    </w:p>
  </w:endnote>
  <w:endnote w:type="continuationSeparator" w:id="0">
    <w:p w:rsidR="00C262C5" w:rsidRDefault="00C2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2C5" w:rsidRDefault="00C262C5">
      <w:r>
        <w:separator/>
      </w:r>
    </w:p>
  </w:footnote>
  <w:footnote w:type="continuationSeparator" w:id="0">
    <w:p w:rsidR="00C262C5" w:rsidRDefault="00C26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4C29F4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4C29F4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5E61">
      <w:rPr>
        <w:rStyle w:val="a7"/>
        <w:noProof/>
      </w:rPr>
      <w:t>3</w: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D19F9"/>
    <w:rsid w:val="00117327"/>
    <w:rsid w:val="00125077"/>
    <w:rsid w:val="00125973"/>
    <w:rsid w:val="00140F2A"/>
    <w:rsid w:val="00154BBA"/>
    <w:rsid w:val="00162547"/>
    <w:rsid w:val="00187250"/>
    <w:rsid w:val="001915D7"/>
    <w:rsid w:val="001A0DDD"/>
    <w:rsid w:val="001A2E0B"/>
    <w:rsid w:val="001A3746"/>
    <w:rsid w:val="001B706F"/>
    <w:rsid w:val="001D53CD"/>
    <w:rsid w:val="00211942"/>
    <w:rsid w:val="002274BC"/>
    <w:rsid w:val="002835BE"/>
    <w:rsid w:val="002C2327"/>
    <w:rsid w:val="002E2A10"/>
    <w:rsid w:val="00303A50"/>
    <w:rsid w:val="003052C0"/>
    <w:rsid w:val="0030640C"/>
    <w:rsid w:val="00306C22"/>
    <w:rsid w:val="003206E5"/>
    <w:rsid w:val="00320F14"/>
    <w:rsid w:val="00355E61"/>
    <w:rsid w:val="00373250"/>
    <w:rsid w:val="00382432"/>
    <w:rsid w:val="003841BC"/>
    <w:rsid w:val="00391CE0"/>
    <w:rsid w:val="003C6FA9"/>
    <w:rsid w:val="003E6D8A"/>
    <w:rsid w:val="003F0DDF"/>
    <w:rsid w:val="003F0F98"/>
    <w:rsid w:val="003F10B8"/>
    <w:rsid w:val="003F708F"/>
    <w:rsid w:val="0040413F"/>
    <w:rsid w:val="00414E33"/>
    <w:rsid w:val="00421D60"/>
    <w:rsid w:val="00423433"/>
    <w:rsid w:val="00437127"/>
    <w:rsid w:val="00450BD5"/>
    <w:rsid w:val="00450F76"/>
    <w:rsid w:val="00456016"/>
    <w:rsid w:val="004560E2"/>
    <w:rsid w:val="00457E98"/>
    <w:rsid w:val="004624EE"/>
    <w:rsid w:val="00463AE2"/>
    <w:rsid w:val="00476B6A"/>
    <w:rsid w:val="0048423F"/>
    <w:rsid w:val="004A2C61"/>
    <w:rsid w:val="004B39DF"/>
    <w:rsid w:val="004C29F4"/>
    <w:rsid w:val="004E447D"/>
    <w:rsid w:val="004E5069"/>
    <w:rsid w:val="00514FBA"/>
    <w:rsid w:val="005204DC"/>
    <w:rsid w:val="00546C7A"/>
    <w:rsid w:val="005603DA"/>
    <w:rsid w:val="00560C4D"/>
    <w:rsid w:val="00561601"/>
    <w:rsid w:val="00580DF7"/>
    <w:rsid w:val="005959DE"/>
    <w:rsid w:val="005A20A4"/>
    <w:rsid w:val="005A3A59"/>
    <w:rsid w:val="005A5F12"/>
    <w:rsid w:val="005D513C"/>
    <w:rsid w:val="005E7E96"/>
    <w:rsid w:val="005F483E"/>
    <w:rsid w:val="005F5341"/>
    <w:rsid w:val="00604C02"/>
    <w:rsid w:val="0063741F"/>
    <w:rsid w:val="00646E05"/>
    <w:rsid w:val="00654128"/>
    <w:rsid w:val="00667B32"/>
    <w:rsid w:val="00673F4E"/>
    <w:rsid w:val="00681E7D"/>
    <w:rsid w:val="00694A8E"/>
    <w:rsid w:val="006B1B06"/>
    <w:rsid w:val="006B1EF7"/>
    <w:rsid w:val="006E3576"/>
    <w:rsid w:val="006E7675"/>
    <w:rsid w:val="0072131A"/>
    <w:rsid w:val="00735F4C"/>
    <w:rsid w:val="007405D9"/>
    <w:rsid w:val="0074388F"/>
    <w:rsid w:val="00745575"/>
    <w:rsid w:val="00767EED"/>
    <w:rsid w:val="007860FD"/>
    <w:rsid w:val="007A1A51"/>
    <w:rsid w:val="007A21E4"/>
    <w:rsid w:val="007B335C"/>
    <w:rsid w:val="007C7A97"/>
    <w:rsid w:val="007D3C63"/>
    <w:rsid w:val="00800F2D"/>
    <w:rsid w:val="0081504A"/>
    <w:rsid w:val="00836E5D"/>
    <w:rsid w:val="00851297"/>
    <w:rsid w:val="008525B5"/>
    <w:rsid w:val="00863E3C"/>
    <w:rsid w:val="00866293"/>
    <w:rsid w:val="008670EC"/>
    <w:rsid w:val="008778B1"/>
    <w:rsid w:val="00892052"/>
    <w:rsid w:val="008A13DF"/>
    <w:rsid w:val="008A6962"/>
    <w:rsid w:val="008D6B60"/>
    <w:rsid w:val="008E434E"/>
    <w:rsid w:val="00903042"/>
    <w:rsid w:val="0094205E"/>
    <w:rsid w:val="009448D8"/>
    <w:rsid w:val="00955CFE"/>
    <w:rsid w:val="00956190"/>
    <w:rsid w:val="009669CE"/>
    <w:rsid w:val="00996652"/>
    <w:rsid w:val="009A19CF"/>
    <w:rsid w:val="009A7B37"/>
    <w:rsid w:val="009C6F19"/>
    <w:rsid w:val="009D7A23"/>
    <w:rsid w:val="009E5C1A"/>
    <w:rsid w:val="009F2FF8"/>
    <w:rsid w:val="009F6107"/>
    <w:rsid w:val="00A10B5F"/>
    <w:rsid w:val="00A11181"/>
    <w:rsid w:val="00A2343E"/>
    <w:rsid w:val="00A24E26"/>
    <w:rsid w:val="00A25B58"/>
    <w:rsid w:val="00A42F29"/>
    <w:rsid w:val="00A45DDA"/>
    <w:rsid w:val="00A61A8C"/>
    <w:rsid w:val="00A9476A"/>
    <w:rsid w:val="00AA1F09"/>
    <w:rsid w:val="00AB60A3"/>
    <w:rsid w:val="00AC0185"/>
    <w:rsid w:val="00AC54A8"/>
    <w:rsid w:val="00AC762B"/>
    <w:rsid w:val="00B027E8"/>
    <w:rsid w:val="00B071E0"/>
    <w:rsid w:val="00B10FA6"/>
    <w:rsid w:val="00B143CB"/>
    <w:rsid w:val="00B31F09"/>
    <w:rsid w:val="00B35E33"/>
    <w:rsid w:val="00B46EF7"/>
    <w:rsid w:val="00B5457A"/>
    <w:rsid w:val="00B92890"/>
    <w:rsid w:val="00B97497"/>
    <w:rsid w:val="00BA2455"/>
    <w:rsid w:val="00BB3AD0"/>
    <w:rsid w:val="00BC53D2"/>
    <w:rsid w:val="00BD477C"/>
    <w:rsid w:val="00BF709F"/>
    <w:rsid w:val="00C13529"/>
    <w:rsid w:val="00C14346"/>
    <w:rsid w:val="00C25443"/>
    <w:rsid w:val="00C262C5"/>
    <w:rsid w:val="00C318F8"/>
    <w:rsid w:val="00C34D97"/>
    <w:rsid w:val="00C50FA3"/>
    <w:rsid w:val="00C573A2"/>
    <w:rsid w:val="00C643E9"/>
    <w:rsid w:val="00C73590"/>
    <w:rsid w:val="00C960CD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40ECB"/>
    <w:rsid w:val="00D538FC"/>
    <w:rsid w:val="00D56122"/>
    <w:rsid w:val="00D60013"/>
    <w:rsid w:val="00D866DD"/>
    <w:rsid w:val="00D90ED9"/>
    <w:rsid w:val="00DA308C"/>
    <w:rsid w:val="00DA5253"/>
    <w:rsid w:val="00DC703F"/>
    <w:rsid w:val="00DE29F5"/>
    <w:rsid w:val="00DE71AE"/>
    <w:rsid w:val="00DF3715"/>
    <w:rsid w:val="00E00C99"/>
    <w:rsid w:val="00E17449"/>
    <w:rsid w:val="00E445B8"/>
    <w:rsid w:val="00E460B7"/>
    <w:rsid w:val="00E5291C"/>
    <w:rsid w:val="00E52B2C"/>
    <w:rsid w:val="00E80E58"/>
    <w:rsid w:val="00EA3E68"/>
    <w:rsid w:val="00EB282D"/>
    <w:rsid w:val="00ED69D7"/>
    <w:rsid w:val="00EE4B04"/>
    <w:rsid w:val="00EE5D70"/>
    <w:rsid w:val="00EE6C7D"/>
    <w:rsid w:val="00EF4BD6"/>
    <w:rsid w:val="00F02FE9"/>
    <w:rsid w:val="00F05539"/>
    <w:rsid w:val="00F21401"/>
    <w:rsid w:val="00F25C42"/>
    <w:rsid w:val="00F31687"/>
    <w:rsid w:val="00F37836"/>
    <w:rsid w:val="00F474E5"/>
    <w:rsid w:val="00F47EBB"/>
    <w:rsid w:val="00F57C8A"/>
    <w:rsid w:val="00F636DD"/>
    <w:rsid w:val="00F6678D"/>
    <w:rsid w:val="00F771D0"/>
    <w:rsid w:val="00F7727D"/>
    <w:rsid w:val="00F847C6"/>
    <w:rsid w:val="00F86940"/>
    <w:rsid w:val="00FB6A90"/>
    <w:rsid w:val="00FC0078"/>
    <w:rsid w:val="00FC0477"/>
    <w:rsid w:val="00FE052A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link w:val="a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a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c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rsid w:val="00450BD5"/>
    <w:rPr>
      <w:color w:val="106BBE"/>
    </w:rPr>
  </w:style>
  <w:style w:type="paragraph" w:customStyle="1" w:styleId="ae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0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2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C54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link w:val="ListParagraphChar"/>
    <w:rsid w:val="00F636DD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F636DD"/>
    <w:rPr>
      <w:rFonts w:ascii="Calibri" w:hAnsi="Calibri"/>
      <w:lang w:val="ru-RU" w:eastAsia="en-US" w:bidi="ar-SA"/>
    </w:rPr>
  </w:style>
  <w:style w:type="paragraph" w:styleId="af3">
    <w:name w:val="footer"/>
    <w:basedOn w:val="a"/>
    <w:rsid w:val="00C25443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8"/>
    <w:rsid w:val="002274B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8683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27</cp:revision>
  <cp:lastPrinted>2015-11-20T10:32:00Z</cp:lastPrinted>
  <dcterms:created xsi:type="dcterms:W3CDTF">2014-11-12T06:45:00Z</dcterms:created>
  <dcterms:modified xsi:type="dcterms:W3CDTF">2019-10-16T06:29:00Z</dcterms:modified>
</cp:coreProperties>
</file>