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644"/>
        <w:gridCol w:w="5103"/>
      </w:tblGrid>
      <w:tr w:rsidR="00620A99" w:rsidRPr="00620A99" w:rsidTr="00E808EE">
        <w:tc>
          <w:tcPr>
            <w:tcW w:w="4644" w:type="dxa"/>
          </w:tcPr>
          <w:p w:rsidR="00620A99" w:rsidRPr="00620A99" w:rsidRDefault="00620A99" w:rsidP="00620A99">
            <w:pPr>
              <w:jc w:val="center"/>
              <w:rPr>
                <w:b/>
                <w:kern w:val="20"/>
                <w:szCs w:val="28"/>
              </w:rPr>
            </w:pPr>
          </w:p>
          <w:p w:rsidR="00620A99" w:rsidRPr="00620A99" w:rsidRDefault="00620A99" w:rsidP="00620A99">
            <w:pPr>
              <w:jc w:val="center"/>
              <w:rPr>
                <w:b/>
                <w:kern w:val="20"/>
                <w:szCs w:val="28"/>
              </w:rPr>
            </w:pPr>
          </w:p>
        </w:tc>
        <w:tc>
          <w:tcPr>
            <w:tcW w:w="5103" w:type="dxa"/>
          </w:tcPr>
          <w:p w:rsidR="00620A99" w:rsidRPr="00620A99" w:rsidRDefault="00620A99" w:rsidP="00620A99">
            <w:pPr>
              <w:jc w:val="center"/>
              <w:rPr>
                <w:kern w:val="20"/>
                <w:szCs w:val="28"/>
              </w:rPr>
            </w:pPr>
            <w:r w:rsidRPr="00620A99">
              <w:rPr>
                <w:kern w:val="20"/>
                <w:szCs w:val="28"/>
              </w:rPr>
              <w:t>ПРИЛОЖЕНИЕ № 1</w:t>
            </w:r>
          </w:p>
          <w:p w:rsidR="00620A99" w:rsidRPr="00620A99" w:rsidRDefault="00620A99" w:rsidP="00620A99">
            <w:pPr>
              <w:jc w:val="center"/>
              <w:rPr>
                <w:kern w:val="20"/>
                <w:szCs w:val="28"/>
              </w:rPr>
            </w:pPr>
          </w:p>
          <w:p w:rsidR="00620A99" w:rsidRPr="00620A99" w:rsidRDefault="00620A99" w:rsidP="00620A99">
            <w:pPr>
              <w:jc w:val="center"/>
              <w:rPr>
                <w:kern w:val="20"/>
                <w:szCs w:val="28"/>
              </w:rPr>
            </w:pPr>
            <w:r w:rsidRPr="00620A99">
              <w:rPr>
                <w:kern w:val="20"/>
                <w:szCs w:val="28"/>
              </w:rPr>
              <w:t>УТВЕРЖДЕНО</w:t>
            </w:r>
          </w:p>
          <w:p w:rsidR="00620A99" w:rsidRPr="00620A99" w:rsidRDefault="00620A99" w:rsidP="00620A99">
            <w:pPr>
              <w:jc w:val="center"/>
              <w:rPr>
                <w:kern w:val="20"/>
                <w:szCs w:val="28"/>
              </w:rPr>
            </w:pPr>
            <w:r w:rsidRPr="00620A99">
              <w:rPr>
                <w:kern w:val="20"/>
                <w:szCs w:val="28"/>
              </w:rPr>
              <w:t>постановлением админис</w:t>
            </w:r>
            <w:r w:rsidR="00E808EE">
              <w:rPr>
                <w:kern w:val="20"/>
                <w:szCs w:val="28"/>
              </w:rPr>
              <w:t xml:space="preserve">трации Ахтанизовского сельского </w:t>
            </w:r>
            <w:r w:rsidRPr="00620A99">
              <w:rPr>
                <w:kern w:val="20"/>
                <w:szCs w:val="28"/>
              </w:rPr>
              <w:t>поселения</w:t>
            </w:r>
          </w:p>
          <w:p w:rsidR="00620A99" w:rsidRPr="00620A99" w:rsidRDefault="00620A99" w:rsidP="00620A99">
            <w:pPr>
              <w:jc w:val="center"/>
              <w:rPr>
                <w:kern w:val="20"/>
                <w:szCs w:val="28"/>
              </w:rPr>
            </w:pPr>
            <w:r w:rsidRPr="00620A99">
              <w:rPr>
                <w:kern w:val="20"/>
                <w:szCs w:val="28"/>
              </w:rPr>
              <w:t>Темрюкского района</w:t>
            </w:r>
          </w:p>
          <w:p w:rsidR="00620A99" w:rsidRPr="00620A99" w:rsidRDefault="00620A99" w:rsidP="008D03DB">
            <w:pPr>
              <w:jc w:val="center"/>
              <w:rPr>
                <w:kern w:val="20"/>
                <w:szCs w:val="28"/>
              </w:rPr>
            </w:pPr>
            <w:r w:rsidRPr="00620A99">
              <w:rPr>
                <w:kern w:val="20"/>
                <w:szCs w:val="28"/>
              </w:rPr>
              <w:t xml:space="preserve">от </w:t>
            </w:r>
            <w:r w:rsidR="008D03DB">
              <w:rPr>
                <w:kern w:val="20"/>
                <w:szCs w:val="28"/>
              </w:rPr>
              <w:t xml:space="preserve">31.07.2018 </w:t>
            </w:r>
            <w:r w:rsidRPr="00620A99">
              <w:rPr>
                <w:kern w:val="20"/>
                <w:szCs w:val="28"/>
              </w:rPr>
              <w:t xml:space="preserve">№ </w:t>
            </w:r>
            <w:r w:rsidR="008D03DB">
              <w:rPr>
                <w:kern w:val="20"/>
                <w:szCs w:val="28"/>
              </w:rPr>
              <w:t>119</w:t>
            </w:r>
          </w:p>
        </w:tc>
      </w:tr>
    </w:tbl>
    <w:p w:rsidR="00620A99" w:rsidRPr="00620A99" w:rsidRDefault="00620A99" w:rsidP="00620A99">
      <w:pPr>
        <w:rPr>
          <w:b/>
          <w:szCs w:val="28"/>
        </w:rPr>
      </w:pPr>
    </w:p>
    <w:p w:rsidR="00620A99" w:rsidRPr="00620A99" w:rsidRDefault="00620A99" w:rsidP="00620A99">
      <w:pPr>
        <w:jc w:val="center"/>
        <w:rPr>
          <w:b/>
          <w:color w:val="000000"/>
          <w:szCs w:val="28"/>
        </w:rPr>
      </w:pPr>
    </w:p>
    <w:p w:rsidR="00620A99" w:rsidRPr="00620A99" w:rsidRDefault="00620A99" w:rsidP="00620A99">
      <w:pPr>
        <w:jc w:val="center"/>
        <w:rPr>
          <w:b/>
          <w:color w:val="000000"/>
          <w:szCs w:val="28"/>
        </w:rPr>
      </w:pPr>
      <w:r w:rsidRPr="00620A99">
        <w:rPr>
          <w:b/>
          <w:color w:val="000000"/>
          <w:szCs w:val="28"/>
        </w:rPr>
        <w:t>ПОЛОЖЕНИЕ</w:t>
      </w:r>
    </w:p>
    <w:p w:rsidR="00620A99" w:rsidRPr="00620A99" w:rsidRDefault="00E808EE" w:rsidP="00620A99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о</w:t>
      </w:r>
      <w:r w:rsidR="00620A99" w:rsidRPr="00620A99">
        <w:rPr>
          <w:b/>
          <w:color w:val="000000"/>
          <w:szCs w:val="28"/>
        </w:rPr>
        <w:t xml:space="preserve">б утверждении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 и критерии оценки эффективности работы руководителя учреждения» </w:t>
      </w:r>
    </w:p>
    <w:p w:rsidR="00620A99" w:rsidRPr="00620A99" w:rsidRDefault="00620A99" w:rsidP="00620A99">
      <w:pPr>
        <w:jc w:val="center"/>
        <w:rPr>
          <w:color w:val="000000"/>
          <w:szCs w:val="28"/>
        </w:rPr>
      </w:pPr>
    </w:p>
    <w:p w:rsidR="00620A99" w:rsidRPr="00620A99" w:rsidRDefault="00620A99" w:rsidP="00620A99">
      <w:pPr>
        <w:jc w:val="center"/>
        <w:rPr>
          <w:color w:val="000000"/>
          <w:szCs w:val="28"/>
        </w:rPr>
      </w:pPr>
      <w:r w:rsidRPr="00620A99">
        <w:rPr>
          <w:color w:val="000000"/>
          <w:szCs w:val="28"/>
        </w:rPr>
        <w:t>1.Общие положения</w:t>
      </w:r>
    </w:p>
    <w:p w:rsidR="00620A99" w:rsidRPr="00620A99" w:rsidRDefault="00620A99" w:rsidP="00620A99">
      <w:pPr>
        <w:jc w:val="center"/>
        <w:rPr>
          <w:color w:val="000000"/>
          <w:szCs w:val="28"/>
        </w:rPr>
      </w:pPr>
    </w:p>
    <w:p w:rsidR="00E808EE" w:rsidRDefault="00620A99" w:rsidP="00E808EE">
      <w:pPr>
        <w:numPr>
          <w:ilvl w:val="1"/>
          <w:numId w:val="6"/>
        </w:numPr>
        <w:ind w:left="0" w:firstLine="709"/>
        <w:jc w:val="both"/>
        <w:rPr>
          <w:color w:val="000000"/>
          <w:szCs w:val="28"/>
        </w:rPr>
      </w:pPr>
      <w:r w:rsidRPr="00620A99">
        <w:rPr>
          <w:color w:val="000000"/>
          <w:szCs w:val="28"/>
        </w:rPr>
        <w:t>Основные подходы к оценке эффективности деятельности муниципального бюджетного учреждения культуры «Ахтанизовский   культурно-социальный центр» Ахтанизовского сельского поселен</w:t>
      </w:r>
      <w:r w:rsidR="00E808EE">
        <w:rPr>
          <w:color w:val="000000"/>
          <w:szCs w:val="28"/>
        </w:rPr>
        <w:t>ия Темрюкского района (далее – Учреждение)</w:t>
      </w:r>
      <w:r w:rsidRPr="00620A99">
        <w:rPr>
          <w:color w:val="000000"/>
          <w:szCs w:val="28"/>
        </w:rPr>
        <w:t xml:space="preserve"> и руководителя учреждения заключаются в определении показателей, критериев оценки эффективности культурно - досуговой деятельности, а также организационных мер, осуществляемых в процессе оценочных процедур.</w:t>
      </w:r>
    </w:p>
    <w:p w:rsidR="00E808EE" w:rsidRDefault="00620A99" w:rsidP="00E808EE">
      <w:pPr>
        <w:numPr>
          <w:ilvl w:val="1"/>
          <w:numId w:val="6"/>
        </w:numPr>
        <w:ind w:left="0" w:firstLine="709"/>
        <w:jc w:val="both"/>
        <w:rPr>
          <w:color w:val="000000"/>
          <w:szCs w:val="28"/>
        </w:rPr>
      </w:pPr>
      <w:r w:rsidRPr="00E808EE">
        <w:rPr>
          <w:color w:val="000000"/>
          <w:szCs w:val="28"/>
        </w:rPr>
        <w:t>Перечень показателей эффективности деятельности учреждения, критериев оценки результативности работы руководителя учреждения, позволит комплексно и объективно оценивать результаты работы по удовлетворению граждан качеством и количеством предоставленных услуг в сфере культурно - досуговой деятельности, а также по стимулированию к повышению профессионального уровня работни</w:t>
      </w:r>
      <w:r w:rsidR="00E808EE">
        <w:rPr>
          <w:color w:val="000000"/>
          <w:szCs w:val="28"/>
        </w:rPr>
        <w:t>ков учреждения. (Приложение № 1</w:t>
      </w:r>
      <w:r w:rsidRPr="00E808EE">
        <w:rPr>
          <w:color w:val="000000"/>
          <w:szCs w:val="28"/>
        </w:rPr>
        <w:t xml:space="preserve"> к настоящему положению</w:t>
      </w:r>
      <w:r w:rsidR="00E808EE">
        <w:rPr>
          <w:color w:val="000000"/>
          <w:szCs w:val="28"/>
        </w:rPr>
        <w:t>).</w:t>
      </w:r>
    </w:p>
    <w:p w:rsidR="00620A99" w:rsidRPr="00E808EE" w:rsidRDefault="00620A99" w:rsidP="00E808EE">
      <w:pPr>
        <w:numPr>
          <w:ilvl w:val="1"/>
          <w:numId w:val="6"/>
        </w:numPr>
        <w:ind w:left="0" w:firstLine="709"/>
        <w:jc w:val="both"/>
        <w:rPr>
          <w:color w:val="000000"/>
          <w:szCs w:val="28"/>
        </w:rPr>
      </w:pPr>
      <w:r w:rsidRPr="00E808EE">
        <w:rPr>
          <w:color w:val="000000"/>
          <w:szCs w:val="28"/>
        </w:rPr>
        <w:t>Настоящий порядок стимулирования руководителя муниципального бюджетного учреждения культуры «Ахта</w:t>
      </w:r>
      <w:r w:rsidR="00E808EE">
        <w:rPr>
          <w:color w:val="000000"/>
          <w:szCs w:val="28"/>
        </w:rPr>
        <w:t xml:space="preserve">низовский культурно-социальный </w:t>
      </w:r>
      <w:r w:rsidRPr="00E808EE">
        <w:rPr>
          <w:color w:val="000000"/>
          <w:szCs w:val="28"/>
        </w:rPr>
        <w:t>центр» Ахтанизовского сельско</w:t>
      </w:r>
      <w:r w:rsidR="00E808EE">
        <w:rPr>
          <w:color w:val="000000"/>
          <w:szCs w:val="28"/>
        </w:rPr>
        <w:t>го поселения Темрюкского района</w:t>
      </w:r>
      <w:r w:rsidRPr="00E808EE">
        <w:rPr>
          <w:color w:val="000000"/>
          <w:szCs w:val="28"/>
        </w:rPr>
        <w:t>, разработан в целях усиления материальной заинтересованности руководителя в повышении эффективности деятельности Учреждения, качестве оказываемых услуг, реализации задач и функций, возложенных на Учреждение.</w:t>
      </w:r>
    </w:p>
    <w:p w:rsidR="00620A99" w:rsidRPr="00620A99" w:rsidRDefault="00620A99" w:rsidP="00620A99">
      <w:pPr>
        <w:autoSpaceDE w:val="0"/>
        <w:jc w:val="both"/>
        <w:rPr>
          <w:szCs w:val="28"/>
          <w:lang w:eastAsia="ar-SA"/>
        </w:rPr>
      </w:pPr>
    </w:p>
    <w:p w:rsidR="00E808EE" w:rsidRDefault="00620A99" w:rsidP="00E808EE">
      <w:pPr>
        <w:jc w:val="center"/>
        <w:rPr>
          <w:szCs w:val="28"/>
        </w:rPr>
      </w:pPr>
      <w:r w:rsidRPr="00620A99">
        <w:rPr>
          <w:szCs w:val="28"/>
        </w:rPr>
        <w:t>2.Условия стимулирования руководителя Учреждения</w:t>
      </w:r>
    </w:p>
    <w:p w:rsidR="00E808EE" w:rsidRDefault="00E808EE" w:rsidP="00E808EE">
      <w:pPr>
        <w:jc w:val="center"/>
        <w:rPr>
          <w:szCs w:val="28"/>
        </w:rPr>
      </w:pPr>
    </w:p>
    <w:p w:rsidR="00E808EE" w:rsidRDefault="00E808EE" w:rsidP="00E808EE">
      <w:pPr>
        <w:ind w:firstLine="708"/>
        <w:jc w:val="both"/>
        <w:rPr>
          <w:szCs w:val="28"/>
        </w:rPr>
      </w:pPr>
      <w:r>
        <w:rPr>
          <w:szCs w:val="28"/>
        </w:rPr>
        <w:t xml:space="preserve">2.1. </w:t>
      </w:r>
      <w:r w:rsidR="00620A99" w:rsidRPr="00620A99">
        <w:rPr>
          <w:szCs w:val="28"/>
        </w:rPr>
        <w:t xml:space="preserve">Стимулирование руководителя Учреждения производится по результатам оценки итогов работы Учреждения за соответствующий отчетный период с учетом выполнения целевых показателей эффективности деятельности Учреждения, личного вклада руководителя в осуществление основных целей и </w:t>
      </w:r>
      <w:r w:rsidR="00620A99" w:rsidRPr="00620A99">
        <w:rPr>
          <w:szCs w:val="28"/>
        </w:rPr>
        <w:lastRenderedPageBreak/>
        <w:t xml:space="preserve">задач, определенных уставом Учреждения, а также выполнения обязанностей, предусмотренных трудовым договором. </w:t>
      </w:r>
    </w:p>
    <w:p w:rsidR="00E808EE" w:rsidRDefault="00620A99" w:rsidP="00E808EE">
      <w:pPr>
        <w:ind w:firstLine="708"/>
        <w:jc w:val="both"/>
        <w:rPr>
          <w:szCs w:val="28"/>
        </w:rPr>
      </w:pPr>
      <w:r w:rsidRPr="00620A99">
        <w:rPr>
          <w:szCs w:val="28"/>
        </w:rPr>
        <w:t xml:space="preserve">Система стимулирования включает поощрительные выплаты по результатам труда в пределах выделенного финансирования. </w:t>
      </w:r>
    </w:p>
    <w:p w:rsidR="00E808EE" w:rsidRDefault="00E808EE" w:rsidP="00E808EE">
      <w:pPr>
        <w:ind w:firstLine="708"/>
        <w:jc w:val="both"/>
        <w:rPr>
          <w:szCs w:val="28"/>
        </w:rPr>
      </w:pPr>
      <w:r>
        <w:rPr>
          <w:szCs w:val="28"/>
        </w:rPr>
        <w:t xml:space="preserve">2.2. </w:t>
      </w:r>
      <w:r w:rsidR="00620A99" w:rsidRPr="00620A99">
        <w:rPr>
          <w:szCs w:val="28"/>
        </w:rPr>
        <w:t>Руководитель Учреждения обязан ежемесячно, не позднее 25 числа текущего месяца, представлять отчеты о выполнении целевых показателей эффективности деятельности Учреждения в администрацию Ахтанизовского сельского поселения Темрюкского района.</w:t>
      </w:r>
    </w:p>
    <w:p w:rsidR="00620A99" w:rsidRPr="00620A99" w:rsidRDefault="00E808EE" w:rsidP="00E808EE">
      <w:pPr>
        <w:ind w:firstLine="708"/>
        <w:jc w:val="both"/>
        <w:rPr>
          <w:szCs w:val="28"/>
        </w:rPr>
      </w:pPr>
      <w:r>
        <w:rPr>
          <w:szCs w:val="28"/>
        </w:rPr>
        <w:t xml:space="preserve">2.3. </w:t>
      </w:r>
      <w:r w:rsidR="00620A99" w:rsidRPr="00620A99">
        <w:rPr>
          <w:szCs w:val="28"/>
        </w:rPr>
        <w:t>Отчетность состоит из 3 разделов:</w:t>
      </w:r>
    </w:p>
    <w:p w:rsidR="00620A99" w:rsidRPr="00620A99" w:rsidRDefault="00620A99" w:rsidP="00E808EE">
      <w:pPr>
        <w:numPr>
          <w:ilvl w:val="0"/>
          <w:numId w:val="3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 xml:space="preserve">о выполнении целевых показателей эффективности основной деятельности Учреждения; </w:t>
      </w:r>
    </w:p>
    <w:p w:rsidR="00620A99" w:rsidRPr="00620A99" w:rsidRDefault="00620A99" w:rsidP="00E808EE">
      <w:pPr>
        <w:numPr>
          <w:ilvl w:val="0"/>
          <w:numId w:val="3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>о выполнении целевых показателей эффективности финансово-экономической деятельности учреждения;</w:t>
      </w:r>
    </w:p>
    <w:p w:rsidR="00E808EE" w:rsidRDefault="00620A99" w:rsidP="00E808EE">
      <w:pPr>
        <w:numPr>
          <w:ilvl w:val="0"/>
          <w:numId w:val="3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>о выполнении целевых показателей по деятельности Учреждения, направленные на работу с кадрами.</w:t>
      </w:r>
    </w:p>
    <w:p w:rsidR="00620A99" w:rsidRPr="00E808EE" w:rsidRDefault="00620A99" w:rsidP="00E808EE">
      <w:pPr>
        <w:pStyle w:val="a3"/>
        <w:numPr>
          <w:ilvl w:val="1"/>
          <w:numId w:val="7"/>
        </w:numPr>
        <w:autoSpaceDE w:val="0"/>
        <w:ind w:left="0" w:firstLine="709"/>
        <w:jc w:val="both"/>
        <w:rPr>
          <w:szCs w:val="28"/>
        </w:rPr>
      </w:pPr>
      <w:r w:rsidRPr="00E808EE">
        <w:rPr>
          <w:szCs w:val="28"/>
        </w:rPr>
        <w:t>Отчет о выполнении целевых показателей эффективности деятельности Учреждения должен быть представлен по форме, на бумажном носителе, подписан руководителем Учреждения и ск</w:t>
      </w:r>
      <w:r w:rsidR="00E808EE">
        <w:rPr>
          <w:szCs w:val="28"/>
        </w:rPr>
        <w:t>реплен печатью. (Приложение № 2</w:t>
      </w:r>
      <w:r w:rsidRPr="00E808EE">
        <w:rPr>
          <w:szCs w:val="28"/>
        </w:rPr>
        <w:t xml:space="preserve"> к настоящему положению</w:t>
      </w:r>
      <w:r w:rsidR="00E808EE">
        <w:rPr>
          <w:szCs w:val="28"/>
        </w:rPr>
        <w:t>)</w:t>
      </w:r>
      <w:r w:rsidRPr="00E808EE">
        <w:rPr>
          <w:szCs w:val="28"/>
        </w:rPr>
        <w:t>.</w:t>
      </w:r>
    </w:p>
    <w:p w:rsidR="00620A99" w:rsidRPr="00E808EE" w:rsidRDefault="00620A99" w:rsidP="00E808EE">
      <w:pPr>
        <w:pStyle w:val="a3"/>
        <w:numPr>
          <w:ilvl w:val="1"/>
          <w:numId w:val="7"/>
        </w:numPr>
        <w:autoSpaceDE w:val="0"/>
        <w:ind w:left="0" w:firstLine="709"/>
        <w:jc w:val="both"/>
        <w:rPr>
          <w:szCs w:val="28"/>
        </w:rPr>
      </w:pPr>
      <w:r w:rsidRPr="00E808EE">
        <w:rPr>
          <w:szCs w:val="28"/>
        </w:rPr>
        <w:t>Оценку достигнутого результата выполнения целевых показателей и определение размера стимулирующих выплат руководителю Учреждения по итогам работы за отчетный период осуществляет комиссия по оценке выполнения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района, подведомственного администрации Ахтанизовского сельского поселения Темрюкского района (далее – Комиссия).</w:t>
      </w:r>
    </w:p>
    <w:p w:rsidR="00620A99" w:rsidRPr="00620A99" w:rsidRDefault="00620A99" w:rsidP="00E808EE">
      <w:pPr>
        <w:numPr>
          <w:ilvl w:val="1"/>
          <w:numId w:val="7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>По результатам проведенной оценки эффективности деятельности учреждения и руководителя комиссией готовится протокол в произвольной форме с рекомендациями по результатам полученной оценки.</w:t>
      </w:r>
    </w:p>
    <w:p w:rsidR="00620A99" w:rsidRPr="00620A99" w:rsidRDefault="00620A99" w:rsidP="00E808EE">
      <w:pPr>
        <w:numPr>
          <w:ilvl w:val="1"/>
          <w:numId w:val="7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 xml:space="preserve">При увольнении руководителя Учреждения по уважительной причине до истечения отчетного периода, за который осуществляется стимулирование, или назначении на должность в соответствующем отчетном периоде, стимулирующая выплата начисляется за фактически отработанное время. </w:t>
      </w:r>
    </w:p>
    <w:p w:rsidR="00620A99" w:rsidRPr="00620A99" w:rsidRDefault="00620A99" w:rsidP="00E808EE">
      <w:pPr>
        <w:numPr>
          <w:ilvl w:val="1"/>
          <w:numId w:val="7"/>
        </w:numPr>
        <w:autoSpaceDE w:val="0"/>
        <w:ind w:left="0" w:firstLine="709"/>
        <w:jc w:val="both"/>
        <w:rPr>
          <w:szCs w:val="28"/>
        </w:rPr>
      </w:pPr>
      <w:r w:rsidRPr="00620A99">
        <w:rPr>
          <w:szCs w:val="28"/>
        </w:rPr>
        <w:t>Стимулирующая выплата</w:t>
      </w:r>
      <w:r w:rsidRPr="00620A99">
        <w:rPr>
          <w:color w:val="003366"/>
          <w:szCs w:val="28"/>
        </w:rPr>
        <w:t xml:space="preserve"> </w:t>
      </w:r>
      <w:r w:rsidRPr="00620A99">
        <w:rPr>
          <w:color w:val="000000"/>
          <w:szCs w:val="28"/>
        </w:rPr>
        <w:t xml:space="preserve">руководителю Учреждения не начисляется в следующих случаях: 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0" w:firstLine="709"/>
        <w:jc w:val="both"/>
        <w:rPr>
          <w:szCs w:val="28"/>
        </w:rPr>
      </w:pPr>
      <w:r w:rsidRPr="00620A99">
        <w:rPr>
          <w:color w:val="000000"/>
          <w:szCs w:val="28"/>
        </w:rPr>
        <w:t>наложения дисциплинарного взыскания в виде выговора на руководителя Учреждения за неисполнение или ненадлежащее исполнение по его вине возложенных на него функций и полномочий в отчетном периоде. В случае наложения дисциплинарного взыскания в виде замечания размер стимулирующей выплаты руководителю Учреждения может быть снижен;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0" w:firstLine="709"/>
        <w:jc w:val="both"/>
        <w:rPr>
          <w:szCs w:val="28"/>
        </w:rPr>
      </w:pPr>
      <w:r w:rsidRPr="00620A99">
        <w:rPr>
          <w:color w:val="000000"/>
          <w:szCs w:val="28"/>
        </w:rPr>
        <w:t>наличия замечаний по срокам и качеству представления отчетов и других информационных материалов (в том числе по оперативным запросам);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0" w:firstLine="709"/>
        <w:jc w:val="both"/>
        <w:rPr>
          <w:szCs w:val="28"/>
        </w:rPr>
      </w:pPr>
      <w:r w:rsidRPr="00620A99">
        <w:rPr>
          <w:color w:val="000000"/>
          <w:szCs w:val="28"/>
        </w:rPr>
        <w:lastRenderedPageBreak/>
        <w:t>наличия обоснованных жалоб на руководителей со стороны пользователей услуги;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709" w:firstLine="0"/>
        <w:jc w:val="both"/>
        <w:rPr>
          <w:szCs w:val="28"/>
        </w:rPr>
      </w:pPr>
      <w:r w:rsidRPr="00620A99">
        <w:rPr>
          <w:color w:val="000000"/>
          <w:szCs w:val="28"/>
        </w:rPr>
        <w:t>наличия фактов нецелевого расходования бюджетных средств;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0" w:firstLine="709"/>
        <w:jc w:val="both"/>
        <w:rPr>
          <w:szCs w:val="28"/>
        </w:rPr>
      </w:pPr>
      <w:r w:rsidRPr="00620A99">
        <w:rPr>
          <w:color w:val="000000"/>
          <w:szCs w:val="28"/>
        </w:rPr>
        <w:t>нарушения правил ведения бюджетного учета или нарушения бюджетного законодательства, выявленного в результате проверок финансово-хозяйственной деятельности;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0" w:firstLine="709"/>
        <w:jc w:val="both"/>
        <w:rPr>
          <w:szCs w:val="28"/>
        </w:rPr>
      </w:pPr>
      <w:r w:rsidRPr="00620A99">
        <w:rPr>
          <w:color w:val="000000"/>
          <w:szCs w:val="28"/>
        </w:rPr>
        <w:t>наличия фактов недостачи, хищений денежных средств и материальных ценностей руководителем Учреждения, выявленных в отчетном финансовом году;</w:t>
      </w:r>
    </w:p>
    <w:p w:rsidR="00620A99" w:rsidRPr="00620A99" w:rsidRDefault="00620A99" w:rsidP="00E808EE">
      <w:pPr>
        <w:numPr>
          <w:ilvl w:val="0"/>
          <w:numId w:val="4"/>
        </w:numPr>
        <w:autoSpaceDE w:val="0"/>
        <w:ind w:left="709" w:firstLine="0"/>
        <w:jc w:val="both"/>
        <w:rPr>
          <w:szCs w:val="28"/>
        </w:rPr>
      </w:pPr>
      <w:r w:rsidRPr="00620A99">
        <w:rPr>
          <w:color w:val="000000"/>
          <w:szCs w:val="28"/>
        </w:rPr>
        <w:t>нарушения трудового законодательства.</w:t>
      </w:r>
    </w:p>
    <w:p w:rsidR="00620A99" w:rsidRPr="00620A99" w:rsidRDefault="00620A99" w:rsidP="00620A99">
      <w:pPr>
        <w:autoSpaceDE w:val="0"/>
        <w:ind w:firstLine="567"/>
        <w:jc w:val="both"/>
        <w:rPr>
          <w:color w:val="000000"/>
          <w:szCs w:val="28"/>
          <w:lang w:eastAsia="ar-SA"/>
        </w:rPr>
      </w:pPr>
    </w:p>
    <w:p w:rsidR="00620A99" w:rsidRPr="00620A99" w:rsidRDefault="00620A99" w:rsidP="00620A99">
      <w:pPr>
        <w:autoSpaceDE w:val="0"/>
        <w:jc w:val="center"/>
        <w:rPr>
          <w:szCs w:val="28"/>
          <w:lang w:eastAsia="ar-SA"/>
        </w:rPr>
      </w:pPr>
      <w:r w:rsidRPr="00620A99">
        <w:rPr>
          <w:szCs w:val="28"/>
          <w:lang w:eastAsia="ar-SA"/>
        </w:rPr>
        <w:t xml:space="preserve">3. Порядок оценки выполнения целевых показателей Учреждением, </w:t>
      </w:r>
    </w:p>
    <w:p w:rsidR="00620A99" w:rsidRPr="00620A99" w:rsidRDefault="00620A99" w:rsidP="00620A99">
      <w:pPr>
        <w:autoSpaceDE w:val="0"/>
        <w:jc w:val="center"/>
        <w:rPr>
          <w:szCs w:val="28"/>
          <w:lang w:eastAsia="ar-SA"/>
        </w:rPr>
      </w:pPr>
      <w:r w:rsidRPr="00620A99">
        <w:rPr>
          <w:szCs w:val="28"/>
          <w:lang w:eastAsia="ar-SA"/>
        </w:rPr>
        <w:t>размеры и порядок стимулирования руководителя Учреждения</w:t>
      </w:r>
    </w:p>
    <w:p w:rsidR="00620A99" w:rsidRPr="00620A99" w:rsidRDefault="00620A99" w:rsidP="00620A99">
      <w:pPr>
        <w:autoSpaceDE w:val="0"/>
        <w:jc w:val="center"/>
        <w:rPr>
          <w:b/>
          <w:szCs w:val="28"/>
          <w:lang w:eastAsia="ar-SA"/>
        </w:rPr>
      </w:pPr>
    </w:p>
    <w:p w:rsidR="00620A99" w:rsidRPr="00620A99" w:rsidRDefault="00620A99" w:rsidP="00E85F7B">
      <w:pPr>
        <w:numPr>
          <w:ilvl w:val="1"/>
          <w:numId w:val="5"/>
        </w:numPr>
        <w:autoSpaceDE w:val="0"/>
        <w:ind w:left="0" w:firstLine="709"/>
        <w:jc w:val="both"/>
        <w:rPr>
          <w:szCs w:val="28"/>
          <w:lang w:eastAsia="ar-SA"/>
        </w:rPr>
      </w:pPr>
      <w:r w:rsidRPr="00620A99">
        <w:rPr>
          <w:szCs w:val="28"/>
          <w:lang w:eastAsia="ar-SA"/>
        </w:rPr>
        <w:t>Стимулирование руководителя Учреждения за отчетный период осуществляется в следующем порядке:</w:t>
      </w:r>
    </w:p>
    <w:p w:rsidR="00620A99" w:rsidRPr="00620A99" w:rsidRDefault="00620A99" w:rsidP="00E85F7B">
      <w:pPr>
        <w:numPr>
          <w:ilvl w:val="2"/>
          <w:numId w:val="5"/>
        </w:numPr>
        <w:autoSpaceDE w:val="0"/>
        <w:ind w:left="0" w:firstLine="709"/>
        <w:jc w:val="both"/>
        <w:rPr>
          <w:szCs w:val="28"/>
          <w:lang w:eastAsia="ar-SA"/>
        </w:rPr>
      </w:pPr>
      <w:r w:rsidRPr="00620A99">
        <w:rPr>
          <w:color w:val="000000"/>
          <w:szCs w:val="28"/>
          <w:lang w:eastAsia="ar-SA"/>
        </w:rPr>
        <w:t>Комиссия на основе оценки отчетных форм руководителя Учреждения об исполнении целевых показателей эффективности деятельности Учреждения оп</w:t>
      </w:r>
      <w:r w:rsidRPr="00620A99">
        <w:rPr>
          <w:szCs w:val="28"/>
          <w:lang w:eastAsia="ar-SA"/>
        </w:rPr>
        <w:t>ределяет степень выполнения целевых показателей за отчетный период, которая оценивается определенной суммой баллов.</w:t>
      </w:r>
    </w:p>
    <w:p w:rsidR="00620A99" w:rsidRPr="00620A99" w:rsidRDefault="00620A99" w:rsidP="00E85F7B">
      <w:pPr>
        <w:numPr>
          <w:ilvl w:val="2"/>
          <w:numId w:val="5"/>
        </w:numPr>
        <w:autoSpaceDE w:val="0"/>
        <w:ind w:left="0" w:firstLine="709"/>
        <w:jc w:val="both"/>
        <w:rPr>
          <w:szCs w:val="28"/>
          <w:lang w:eastAsia="ar-SA"/>
        </w:rPr>
      </w:pPr>
      <w:r w:rsidRPr="00620A99">
        <w:rPr>
          <w:szCs w:val="28"/>
          <w:lang w:eastAsia="ar-SA"/>
        </w:rPr>
        <w:t xml:space="preserve">При сумме баллов, соответствующей выполнению всех целевых показателей эффективности деятельности Учреждения, размер стимулирующих выплат руководителя Учреждения за отчетный период не превышает 400% от должностного оклада руководителя учреждения. </w:t>
      </w:r>
      <w:r w:rsidRPr="00620A99">
        <w:rPr>
          <w:color w:val="993300"/>
          <w:szCs w:val="28"/>
          <w:lang w:eastAsia="ar-SA"/>
        </w:rPr>
        <w:t xml:space="preserve"> </w:t>
      </w:r>
    </w:p>
    <w:p w:rsidR="00620A99" w:rsidRPr="00620A99" w:rsidRDefault="00620A99" w:rsidP="00E85F7B">
      <w:pPr>
        <w:numPr>
          <w:ilvl w:val="2"/>
          <w:numId w:val="5"/>
        </w:numPr>
        <w:autoSpaceDE w:val="0"/>
        <w:ind w:left="0" w:firstLine="709"/>
        <w:jc w:val="both"/>
        <w:rPr>
          <w:szCs w:val="28"/>
          <w:lang w:eastAsia="ar-SA"/>
        </w:rPr>
      </w:pPr>
      <w:r w:rsidRPr="00620A99">
        <w:rPr>
          <w:szCs w:val="28"/>
          <w:lang w:eastAsia="ar-SA"/>
        </w:rPr>
        <w:t>Стоимость одного балла равна 1 % и  зависит от размера выделенных средств, для стимулирования в отчетном периоде.</w:t>
      </w:r>
    </w:p>
    <w:p w:rsidR="00620A99" w:rsidRPr="00E85F7B" w:rsidRDefault="00620A99" w:rsidP="00E85F7B">
      <w:pPr>
        <w:autoSpaceDE w:val="0"/>
        <w:jc w:val="center"/>
        <w:rPr>
          <w:szCs w:val="28"/>
          <w:lang w:eastAsia="ar-SA"/>
        </w:rPr>
      </w:pPr>
    </w:p>
    <w:p w:rsidR="00620A99" w:rsidRPr="00E85F7B" w:rsidRDefault="00620A99" w:rsidP="00E85F7B">
      <w:pPr>
        <w:autoSpaceDE w:val="0"/>
        <w:jc w:val="center"/>
        <w:rPr>
          <w:szCs w:val="28"/>
          <w:lang w:eastAsia="ar-SA"/>
        </w:rPr>
      </w:pPr>
    </w:p>
    <w:p w:rsidR="00620A99" w:rsidRPr="00620A99" w:rsidRDefault="00620A99" w:rsidP="00E85F7B">
      <w:pPr>
        <w:autoSpaceDE w:val="0"/>
        <w:rPr>
          <w:szCs w:val="28"/>
          <w:lang w:eastAsia="ar-SA"/>
        </w:rPr>
      </w:pPr>
      <w:r w:rsidRPr="00620A99">
        <w:rPr>
          <w:szCs w:val="28"/>
          <w:lang w:eastAsia="ar-SA"/>
        </w:rPr>
        <w:t xml:space="preserve">Начальник отдела  финансов </w:t>
      </w:r>
    </w:p>
    <w:p w:rsidR="00620A99" w:rsidRPr="00620A99" w:rsidRDefault="00620A99" w:rsidP="00E85F7B">
      <w:pPr>
        <w:autoSpaceDE w:val="0"/>
        <w:jc w:val="both"/>
        <w:rPr>
          <w:szCs w:val="28"/>
          <w:lang w:eastAsia="ar-SA"/>
        </w:rPr>
      </w:pPr>
      <w:r w:rsidRPr="00620A99">
        <w:rPr>
          <w:szCs w:val="28"/>
          <w:lang w:eastAsia="ar-SA"/>
        </w:rPr>
        <w:t xml:space="preserve">и экономического развития                                                      </w:t>
      </w:r>
      <w:r w:rsidR="00E85F7B">
        <w:rPr>
          <w:szCs w:val="28"/>
          <w:lang w:eastAsia="ar-SA"/>
        </w:rPr>
        <w:t xml:space="preserve">      </w:t>
      </w:r>
      <w:r w:rsidRPr="00620A99">
        <w:rPr>
          <w:szCs w:val="28"/>
          <w:lang w:eastAsia="ar-SA"/>
        </w:rPr>
        <w:t xml:space="preserve"> А.В. Плотникова</w:t>
      </w:r>
    </w:p>
    <w:p w:rsidR="00620A99" w:rsidRPr="00620A99" w:rsidRDefault="00620A99" w:rsidP="00620A99">
      <w:pPr>
        <w:autoSpaceDE w:val="0"/>
        <w:jc w:val="both"/>
        <w:rPr>
          <w:szCs w:val="28"/>
          <w:lang w:eastAsia="ar-SA"/>
        </w:rPr>
      </w:pPr>
    </w:p>
    <w:p w:rsidR="00A23CC3" w:rsidRDefault="00A23CC3">
      <w:bookmarkStart w:id="0" w:name="_GoBack"/>
      <w:bookmarkEnd w:id="0"/>
    </w:p>
    <w:sectPr w:rsidR="00A23CC3" w:rsidSect="00E808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C015BB"/>
    <w:multiLevelType w:val="multilevel"/>
    <w:tmpl w:val="955EBC8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340"/>
    <w:rsid w:val="00620A99"/>
    <w:rsid w:val="008D03DB"/>
    <w:rsid w:val="00A23CC3"/>
    <w:rsid w:val="00B41C55"/>
    <w:rsid w:val="00C503AF"/>
    <w:rsid w:val="00E808EE"/>
    <w:rsid w:val="00E85F7B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dcterms:created xsi:type="dcterms:W3CDTF">2018-09-11T08:49:00Z</dcterms:created>
  <dcterms:modified xsi:type="dcterms:W3CDTF">2018-09-13T06:53:00Z</dcterms:modified>
</cp:coreProperties>
</file>