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093015">
        <w:rPr>
          <w:spacing w:val="-12"/>
          <w:sz w:val="28"/>
          <w:szCs w:val="28"/>
        </w:rPr>
        <w:t xml:space="preserve">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093015">
        <w:rPr>
          <w:spacing w:val="-12"/>
          <w:sz w:val="28"/>
          <w:szCs w:val="28"/>
        </w:rPr>
        <w:t xml:space="preserve">                          </w:t>
      </w:r>
      <w:r w:rsidR="00042157">
        <w:rPr>
          <w:spacing w:val="-12"/>
          <w:sz w:val="28"/>
          <w:szCs w:val="28"/>
        </w:rPr>
        <w:t>УТВЕРЖДЕНА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973025">
        <w:rPr>
          <w:spacing w:val="-12"/>
          <w:sz w:val="28"/>
          <w:szCs w:val="28"/>
        </w:rPr>
        <w:t xml:space="preserve">31.10.2025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973025">
        <w:rPr>
          <w:spacing w:val="-12"/>
          <w:sz w:val="28"/>
          <w:szCs w:val="28"/>
        </w:rPr>
        <w:t>228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Pr="00414F2E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>Муниципальная программа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>«</w:t>
      </w:r>
      <w:r w:rsidR="00403E49">
        <w:rPr>
          <w:b/>
          <w:sz w:val="28"/>
          <w:szCs w:val="28"/>
        </w:rPr>
        <w:t>Эффективное муниципальное управление</w:t>
      </w:r>
      <w:r>
        <w:rPr>
          <w:b/>
          <w:bCs/>
          <w:sz w:val="28"/>
          <w:szCs w:val="28"/>
        </w:rPr>
        <w:t xml:space="preserve">» </w:t>
      </w:r>
    </w:p>
    <w:p w:rsidR="000B64A1" w:rsidRPr="00937B5A" w:rsidRDefault="000B64A1" w:rsidP="000B64A1">
      <w:pPr>
        <w:jc w:val="center"/>
        <w:rPr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B64A1" w:rsidRPr="001B7EA2" w:rsidRDefault="00403E49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B64A1">
        <w:rPr>
          <w:b/>
          <w:bCs/>
          <w:sz w:val="28"/>
          <w:szCs w:val="28"/>
        </w:rPr>
        <w:t>униципальной программы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«</w:t>
      </w:r>
      <w:r w:rsidR="00403E49">
        <w:rPr>
          <w:b/>
          <w:sz w:val="28"/>
          <w:szCs w:val="28"/>
        </w:rPr>
        <w:t>Эффективное муниципальное управление</w:t>
      </w:r>
      <w:r>
        <w:rPr>
          <w:b/>
          <w:bCs/>
          <w:sz w:val="28"/>
          <w:szCs w:val="28"/>
        </w:rPr>
        <w:t xml:space="preserve">» 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403E49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 и экономического развития администрации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C3A21">
              <w:rPr>
                <w:sz w:val="28"/>
                <w:szCs w:val="28"/>
              </w:rPr>
              <w:t>сельского поселения Темрюкского района</w:t>
            </w:r>
            <w:r w:rsidR="00093015">
              <w:rPr>
                <w:sz w:val="28"/>
                <w:szCs w:val="28"/>
              </w:rPr>
              <w:t>, МКУ «</w:t>
            </w:r>
            <w:proofErr w:type="spellStart"/>
            <w:r w:rsidR="00093015">
              <w:rPr>
                <w:sz w:val="28"/>
                <w:szCs w:val="28"/>
              </w:rPr>
              <w:t>Ахтанизовская</w:t>
            </w:r>
            <w:proofErr w:type="spellEnd"/>
            <w:r w:rsidR="00093015">
              <w:rPr>
                <w:sz w:val="28"/>
                <w:szCs w:val="28"/>
              </w:rPr>
              <w:t xml:space="preserve"> ЦБ»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B64A1" w:rsidRPr="00ED2A8B" w:rsidRDefault="00093015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 и экономического развития администрации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C3A21">
              <w:rPr>
                <w:sz w:val="28"/>
                <w:szCs w:val="28"/>
              </w:rPr>
              <w:t>сельского поселения Темрюкского района</w:t>
            </w:r>
            <w:r>
              <w:rPr>
                <w:sz w:val="28"/>
                <w:szCs w:val="28"/>
              </w:rPr>
              <w:t>, 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ЦБ»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D2A8B">
              <w:rPr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093015" w:rsidRPr="00E64BAB" w:rsidRDefault="00093015" w:rsidP="00093015">
            <w:pPr>
              <w:jc w:val="both"/>
              <w:rPr>
                <w:sz w:val="28"/>
                <w:szCs w:val="28"/>
              </w:rPr>
            </w:pPr>
            <w:r w:rsidRPr="001A38A7">
              <w:rPr>
                <w:sz w:val="28"/>
                <w:szCs w:val="28"/>
              </w:rPr>
              <w:t>1)</w:t>
            </w:r>
            <w:hyperlink w:anchor="sub_1000" w:history="1">
              <w:r w:rsidRPr="00093015">
                <w:rPr>
                  <w:rStyle w:val="ad"/>
                  <w:sz w:val="28"/>
                  <w:szCs w:val="28"/>
                </w:rPr>
                <w:t>подпрограмма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1A38A7">
              <w:rPr>
                <w:sz w:val="28"/>
                <w:szCs w:val="28"/>
              </w:rPr>
              <w:t>«Реализация муниципальных функций, связанных с муниципальным управлением</w:t>
            </w:r>
            <w:r>
              <w:rPr>
                <w:sz w:val="28"/>
                <w:szCs w:val="28"/>
              </w:rPr>
              <w:t>»</w:t>
            </w:r>
          </w:p>
          <w:p w:rsidR="000B64A1" w:rsidRPr="00ED2A8B" w:rsidRDefault="00093015" w:rsidP="00093015">
            <w:pPr>
              <w:ind w:right="282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A38A7">
              <w:rPr>
                <w:bCs/>
                <w:sz w:val="28"/>
                <w:szCs w:val="28"/>
              </w:rPr>
              <w:t xml:space="preserve">) подпрограмма </w:t>
            </w:r>
            <w:r w:rsidRPr="001A38A7">
              <w:rPr>
                <w:sz w:val="28"/>
                <w:szCs w:val="28"/>
              </w:rPr>
              <w:t>«Обеспечение ведения бухгалтерского учета»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377CB">
              <w:rPr>
                <w:rStyle w:val="af3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403E49" w:rsidRPr="001A38A7" w:rsidRDefault="00403E49" w:rsidP="00403E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создание</w:t>
            </w:r>
            <w:r w:rsidRPr="001A38A7">
              <w:rPr>
                <w:color w:val="000000"/>
                <w:sz w:val="28"/>
                <w:szCs w:val="28"/>
              </w:rPr>
              <w:t xml:space="preserve"> условий для повышения эффективности бюджетных </w:t>
            </w:r>
            <w:r>
              <w:rPr>
                <w:color w:val="000000"/>
                <w:sz w:val="28"/>
                <w:szCs w:val="28"/>
              </w:rPr>
              <w:t>доходов и расходов,</w:t>
            </w:r>
            <w:r w:rsidRPr="001A38A7">
              <w:rPr>
                <w:color w:val="000000"/>
                <w:sz w:val="28"/>
                <w:szCs w:val="28"/>
              </w:rPr>
              <w:t xml:space="preserve"> качества управления  муниципальными    </w:t>
            </w:r>
            <w:r w:rsidRPr="001A38A7">
              <w:rPr>
                <w:color w:val="000000"/>
                <w:sz w:val="28"/>
                <w:szCs w:val="28"/>
              </w:rPr>
              <w:lastRenderedPageBreak/>
              <w:t xml:space="preserve">финансами в </w:t>
            </w:r>
            <w:proofErr w:type="spellStart"/>
            <w:r>
              <w:rPr>
                <w:color w:val="000000"/>
                <w:sz w:val="28"/>
                <w:szCs w:val="28"/>
              </w:rPr>
              <w:t>Ахтанизовском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1A38A7">
              <w:rPr>
                <w:color w:val="000000"/>
                <w:sz w:val="28"/>
                <w:szCs w:val="28"/>
              </w:rPr>
              <w:t>сельском поселении Темрюкского района, повышения качества      финансового менеджмента в секторе муниципального управления;</w:t>
            </w:r>
          </w:p>
          <w:p w:rsidR="000B64A1" w:rsidRPr="00ED2A8B" w:rsidRDefault="00403E49" w:rsidP="00403E49">
            <w:pPr>
              <w:ind w:right="616"/>
              <w:rPr>
                <w:sz w:val="28"/>
                <w:szCs w:val="28"/>
              </w:rPr>
            </w:pPr>
            <w:r w:rsidRPr="001A38A7">
              <w:rPr>
                <w:color w:val="000000"/>
                <w:sz w:val="28"/>
                <w:szCs w:val="28"/>
              </w:rPr>
              <w:t xml:space="preserve">- </w:t>
            </w:r>
            <w:r w:rsidRPr="001A38A7">
              <w:rPr>
                <w:spacing w:val="-2"/>
                <w:sz w:val="28"/>
                <w:szCs w:val="28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403E49" w:rsidRPr="00871474" w:rsidRDefault="00403E49" w:rsidP="00403E49">
            <w:pPr>
              <w:rPr>
                <w:color w:val="000000"/>
                <w:sz w:val="28"/>
                <w:szCs w:val="28"/>
              </w:rPr>
            </w:pPr>
            <w:r w:rsidRPr="00871474">
              <w:rPr>
                <w:color w:val="000000"/>
                <w:sz w:val="28"/>
                <w:szCs w:val="28"/>
              </w:rPr>
              <w:t xml:space="preserve">- обеспечение долгосрочной сбалансированности и устойчивости бюджета </w:t>
            </w:r>
            <w:proofErr w:type="spellStart"/>
            <w:r w:rsidRPr="00871474">
              <w:rPr>
                <w:color w:val="000000"/>
                <w:sz w:val="28"/>
                <w:szCs w:val="28"/>
              </w:rPr>
              <w:t>Ахтанизовского</w:t>
            </w:r>
            <w:proofErr w:type="spellEnd"/>
            <w:r w:rsidRPr="00871474">
              <w:rPr>
                <w:color w:val="000000"/>
                <w:sz w:val="28"/>
                <w:szCs w:val="28"/>
              </w:rPr>
              <w:t xml:space="preserve"> сельского поселения Темрюкского района;</w:t>
            </w:r>
          </w:p>
          <w:p w:rsidR="000B64A1" w:rsidRPr="00ED2A8B" w:rsidRDefault="00403E49" w:rsidP="00403E49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 w:rsidRPr="00871474">
              <w:rPr>
                <w:color w:val="000000"/>
                <w:sz w:val="28"/>
                <w:szCs w:val="28"/>
              </w:rPr>
              <w:t xml:space="preserve"> </w:t>
            </w:r>
            <w:r w:rsidRPr="00871474">
              <w:rPr>
                <w:sz w:val="28"/>
                <w:szCs w:val="28"/>
              </w:rPr>
              <w:t>- 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403E49" w:rsidRPr="001A38A7" w:rsidRDefault="00403E49" w:rsidP="00403E49">
            <w:pPr>
              <w:jc w:val="both"/>
              <w:rPr>
                <w:sz w:val="28"/>
                <w:szCs w:val="28"/>
              </w:rPr>
            </w:pPr>
            <w:r w:rsidRPr="001A38A7">
              <w:rPr>
                <w:sz w:val="28"/>
                <w:szCs w:val="28"/>
              </w:rPr>
              <w:t>- увеличение объема налоговых и неналоговых доходов;</w:t>
            </w:r>
          </w:p>
          <w:p w:rsidR="000B64A1" w:rsidRPr="00ED2A8B" w:rsidRDefault="00403E49" w:rsidP="00403E4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F18EB">
              <w:rPr>
                <w:sz w:val="28"/>
                <w:szCs w:val="28"/>
              </w:rPr>
              <w:t>- количество обслуживаемых</w:t>
            </w:r>
            <w:r w:rsidRPr="001A38A7">
              <w:rPr>
                <w:sz w:val="28"/>
                <w:szCs w:val="28"/>
              </w:rPr>
              <w:t xml:space="preserve"> учреждений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B52C22" w:rsidP="00C67E5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C67E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B52C22" w:rsidP="00C67E5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9F5891" w:rsidP="00597D2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9514,4</w:t>
            </w:r>
          </w:p>
        </w:tc>
        <w:tc>
          <w:tcPr>
            <w:tcW w:w="1808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9F5891" w:rsidP="00C67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9514,4</w:t>
            </w:r>
          </w:p>
        </w:tc>
        <w:tc>
          <w:tcPr>
            <w:tcW w:w="2144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9F589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9514,4</w:t>
            </w:r>
          </w:p>
        </w:tc>
        <w:tc>
          <w:tcPr>
            <w:tcW w:w="1808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9F5891" w:rsidP="00C67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9514,4</w:t>
            </w:r>
          </w:p>
        </w:tc>
        <w:tc>
          <w:tcPr>
            <w:tcW w:w="2144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C67E58">
        <w:tc>
          <w:tcPr>
            <w:tcW w:w="14678" w:type="dxa"/>
            <w:gridSpan w:val="6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B52C22" w:rsidP="00C67E5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C67E58">
        <w:tc>
          <w:tcPr>
            <w:tcW w:w="14678" w:type="dxa"/>
            <w:gridSpan w:val="6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B52C22" w:rsidP="00C67E5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C67E58">
        <w:tc>
          <w:tcPr>
            <w:tcW w:w="6464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C67E58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C67E58" w:rsidRDefault="00C67E58" w:rsidP="00403E49">
      <w:pPr>
        <w:tabs>
          <w:tab w:val="left" w:pos="8100"/>
        </w:tabs>
        <w:rPr>
          <w:sz w:val="28"/>
          <w:szCs w:val="28"/>
        </w:rPr>
      </w:pPr>
    </w:p>
    <w:p w:rsidR="00C67E58" w:rsidRDefault="00C67E58" w:rsidP="00403E49">
      <w:pPr>
        <w:tabs>
          <w:tab w:val="left" w:pos="8100"/>
        </w:tabs>
        <w:rPr>
          <w:sz w:val="28"/>
          <w:szCs w:val="28"/>
        </w:rPr>
      </w:pPr>
    </w:p>
    <w:p w:rsidR="000B64A1" w:rsidRPr="00ED2A8B" w:rsidRDefault="000B64A1" w:rsidP="000B64A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B64A1" w:rsidRPr="00ED2A8B" w:rsidRDefault="000B64A1" w:rsidP="000B64A1">
      <w:pPr>
        <w:jc w:val="center"/>
        <w:rPr>
          <w:sz w:val="28"/>
          <w:szCs w:val="28"/>
        </w:rPr>
      </w:pP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«</w:t>
      </w:r>
      <w:r w:rsidR="00403E49">
        <w:rPr>
          <w:b/>
          <w:sz w:val="28"/>
          <w:szCs w:val="28"/>
        </w:rPr>
        <w:t>Эффективное муниципальное управление</w:t>
      </w:r>
      <w:r w:rsidRPr="005E6DE3">
        <w:rPr>
          <w:b/>
        </w:rPr>
        <w:t>»</w:t>
      </w:r>
    </w:p>
    <w:p w:rsidR="000B64A1" w:rsidRPr="005E6DE3" w:rsidRDefault="000B64A1" w:rsidP="000B64A1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B64A1" w:rsidRPr="000964F7" w:rsidTr="00C67E58">
        <w:tc>
          <w:tcPr>
            <w:tcW w:w="776" w:type="dxa"/>
            <w:vMerge w:val="restart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B64A1" w:rsidRPr="000964F7" w:rsidTr="00C67E58">
        <w:tc>
          <w:tcPr>
            <w:tcW w:w="776" w:type="dxa"/>
            <w:vMerge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B64A1" w:rsidRPr="000964F7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0B64A1" w:rsidRPr="000964F7" w:rsidRDefault="000B64A1" w:rsidP="000B64A1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2459"/>
        <w:gridCol w:w="31"/>
        <w:gridCol w:w="1648"/>
        <w:gridCol w:w="20"/>
        <w:gridCol w:w="1169"/>
        <w:gridCol w:w="11"/>
        <w:gridCol w:w="1320"/>
        <w:gridCol w:w="14"/>
        <w:gridCol w:w="1345"/>
        <w:gridCol w:w="6"/>
        <w:gridCol w:w="1544"/>
        <w:gridCol w:w="8"/>
        <w:gridCol w:w="1536"/>
        <w:gridCol w:w="22"/>
        <w:gridCol w:w="998"/>
        <w:gridCol w:w="1700"/>
      </w:tblGrid>
      <w:tr w:rsidR="000B64A1" w:rsidRPr="00C67E58" w:rsidTr="00C67E58">
        <w:trPr>
          <w:tblHeader/>
        </w:trPr>
        <w:tc>
          <w:tcPr>
            <w:tcW w:w="770" w:type="dxa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1</w:t>
            </w:r>
          </w:p>
        </w:tc>
        <w:tc>
          <w:tcPr>
            <w:tcW w:w="2490" w:type="dxa"/>
            <w:gridSpan w:val="2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2</w:t>
            </w:r>
          </w:p>
        </w:tc>
        <w:tc>
          <w:tcPr>
            <w:tcW w:w="1668" w:type="dxa"/>
            <w:gridSpan w:val="2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3</w:t>
            </w:r>
          </w:p>
        </w:tc>
        <w:tc>
          <w:tcPr>
            <w:tcW w:w="1169" w:type="dxa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4</w:t>
            </w:r>
          </w:p>
        </w:tc>
        <w:tc>
          <w:tcPr>
            <w:tcW w:w="1345" w:type="dxa"/>
            <w:gridSpan w:val="3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5</w:t>
            </w:r>
          </w:p>
        </w:tc>
        <w:tc>
          <w:tcPr>
            <w:tcW w:w="1345" w:type="dxa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6</w:t>
            </w:r>
          </w:p>
        </w:tc>
        <w:tc>
          <w:tcPr>
            <w:tcW w:w="1558" w:type="dxa"/>
            <w:gridSpan w:val="3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7</w:t>
            </w:r>
          </w:p>
        </w:tc>
        <w:tc>
          <w:tcPr>
            <w:tcW w:w="1558" w:type="dxa"/>
            <w:gridSpan w:val="2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8</w:t>
            </w:r>
          </w:p>
        </w:tc>
        <w:tc>
          <w:tcPr>
            <w:tcW w:w="998" w:type="dxa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9</w:t>
            </w:r>
          </w:p>
        </w:tc>
        <w:tc>
          <w:tcPr>
            <w:tcW w:w="1700" w:type="dxa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10</w:t>
            </w:r>
          </w:p>
        </w:tc>
      </w:tr>
      <w:tr w:rsidR="000B64A1" w:rsidRPr="00C67E58" w:rsidTr="00C67E58">
        <w:tc>
          <w:tcPr>
            <w:tcW w:w="770" w:type="dxa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1</w:t>
            </w:r>
          </w:p>
        </w:tc>
        <w:tc>
          <w:tcPr>
            <w:tcW w:w="13831" w:type="dxa"/>
            <w:gridSpan w:val="16"/>
          </w:tcPr>
          <w:p w:rsidR="000B64A1" w:rsidRPr="00C67E58" w:rsidRDefault="000B64A1" w:rsidP="00E160C6">
            <w:r w:rsidRPr="00C67E58">
              <w:t>Муниципальная программа «</w:t>
            </w:r>
            <w:r w:rsidR="00403E49" w:rsidRPr="00C67E58">
              <w:t>Эффективное муниципальное управление</w:t>
            </w:r>
            <w:r w:rsidRPr="00C67E58">
              <w:t>»</w:t>
            </w:r>
          </w:p>
        </w:tc>
      </w:tr>
      <w:tr w:rsidR="000B64A1" w:rsidRPr="00C67E58" w:rsidTr="00C67E58">
        <w:trPr>
          <w:trHeight w:val="890"/>
        </w:trPr>
        <w:tc>
          <w:tcPr>
            <w:tcW w:w="770" w:type="dxa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1.1</w:t>
            </w:r>
          </w:p>
        </w:tc>
        <w:tc>
          <w:tcPr>
            <w:tcW w:w="2490" w:type="dxa"/>
            <w:gridSpan w:val="2"/>
          </w:tcPr>
          <w:p w:rsidR="000B64A1" w:rsidRPr="00C67E58" w:rsidRDefault="00403E49" w:rsidP="00E160C6">
            <w:pPr>
              <w:jc w:val="both"/>
            </w:pPr>
            <w:r w:rsidRPr="00C67E58">
              <w:t>увеличение объема налоговых и неналоговых доходов</w:t>
            </w:r>
          </w:p>
        </w:tc>
        <w:tc>
          <w:tcPr>
            <w:tcW w:w="1668" w:type="dxa"/>
            <w:gridSpan w:val="2"/>
          </w:tcPr>
          <w:p w:rsidR="000B64A1" w:rsidRPr="00C67E58" w:rsidRDefault="00403E49" w:rsidP="00C67E58">
            <w:pPr>
              <w:pStyle w:val="ab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69" w:type="dxa"/>
          </w:tcPr>
          <w:p w:rsidR="000B64A1" w:rsidRPr="00C67E58" w:rsidRDefault="000B64A1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3</w:t>
            </w:r>
          </w:p>
        </w:tc>
        <w:tc>
          <w:tcPr>
            <w:tcW w:w="1345" w:type="dxa"/>
            <w:gridSpan w:val="3"/>
          </w:tcPr>
          <w:p w:rsidR="000B64A1" w:rsidRPr="00C67E58" w:rsidRDefault="000B64A1" w:rsidP="00C67E58">
            <w:r w:rsidRPr="00C67E58">
              <w:t>202</w:t>
            </w:r>
            <w:r w:rsidR="009F5891">
              <w:t>6</w:t>
            </w:r>
          </w:p>
        </w:tc>
        <w:tc>
          <w:tcPr>
            <w:tcW w:w="1345" w:type="dxa"/>
          </w:tcPr>
          <w:p w:rsidR="000B64A1" w:rsidRPr="00C67E58" w:rsidRDefault="00403E49" w:rsidP="00C67E58">
            <w:r w:rsidRPr="00C67E58">
              <w:t>10</w:t>
            </w:r>
          </w:p>
        </w:tc>
        <w:tc>
          <w:tcPr>
            <w:tcW w:w="1558" w:type="dxa"/>
            <w:gridSpan w:val="3"/>
          </w:tcPr>
          <w:p w:rsidR="000B64A1" w:rsidRPr="00C67E58" w:rsidRDefault="00403E49" w:rsidP="00C67E58">
            <w:r w:rsidRPr="00C67E58">
              <w:t>10</w:t>
            </w:r>
          </w:p>
        </w:tc>
        <w:tc>
          <w:tcPr>
            <w:tcW w:w="1558" w:type="dxa"/>
            <w:gridSpan w:val="2"/>
          </w:tcPr>
          <w:p w:rsidR="000B64A1" w:rsidRPr="00C67E58" w:rsidRDefault="00403E49" w:rsidP="00C67E58">
            <w:r w:rsidRPr="00C67E58">
              <w:t>10</w:t>
            </w:r>
          </w:p>
        </w:tc>
        <w:tc>
          <w:tcPr>
            <w:tcW w:w="998" w:type="dxa"/>
          </w:tcPr>
          <w:p w:rsidR="000B64A1" w:rsidRPr="00C67E58" w:rsidRDefault="00403E49" w:rsidP="00C67E58">
            <w:r w:rsidRPr="00C67E58">
              <w:t>10</w:t>
            </w:r>
          </w:p>
        </w:tc>
        <w:tc>
          <w:tcPr>
            <w:tcW w:w="1700" w:type="dxa"/>
          </w:tcPr>
          <w:p w:rsidR="000B64A1" w:rsidRPr="00C67E58" w:rsidRDefault="00403E49" w:rsidP="00C67E58">
            <w:pPr>
              <w:tabs>
                <w:tab w:val="center" w:pos="4677"/>
                <w:tab w:val="right" w:pos="9355"/>
              </w:tabs>
            </w:pPr>
            <w:r w:rsidRPr="00C67E58">
              <w:t>10</w:t>
            </w:r>
          </w:p>
        </w:tc>
      </w:tr>
      <w:tr w:rsidR="00403E49" w:rsidRPr="00C67E58" w:rsidTr="00C67E58">
        <w:trPr>
          <w:trHeight w:val="890"/>
        </w:trPr>
        <w:tc>
          <w:tcPr>
            <w:tcW w:w="770" w:type="dxa"/>
          </w:tcPr>
          <w:p w:rsidR="00403E49" w:rsidRPr="00C67E58" w:rsidRDefault="00403E49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1.2</w:t>
            </w:r>
          </w:p>
        </w:tc>
        <w:tc>
          <w:tcPr>
            <w:tcW w:w="2490" w:type="dxa"/>
            <w:gridSpan w:val="2"/>
          </w:tcPr>
          <w:p w:rsidR="00403E49" w:rsidRPr="00C67E58" w:rsidRDefault="00403E49" w:rsidP="00E160C6">
            <w:pPr>
              <w:jc w:val="both"/>
            </w:pPr>
            <w:r w:rsidRPr="00C67E58">
              <w:t>количество обслуживаемых учреждений</w:t>
            </w:r>
          </w:p>
        </w:tc>
        <w:tc>
          <w:tcPr>
            <w:tcW w:w="1668" w:type="dxa"/>
            <w:gridSpan w:val="2"/>
          </w:tcPr>
          <w:p w:rsidR="00403E49" w:rsidRPr="00C67E58" w:rsidRDefault="00403E49" w:rsidP="00C67E58">
            <w:pPr>
              <w:pStyle w:val="ab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9" w:type="dxa"/>
          </w:tcPr>
          <w:p w:rsidR="00403E49" w:rsidRPr="00C67E58" w:rsidRDefault="008E27BF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3</w:t>
            </w:r>
          </w:p>
        </w:tc>
        <w:tc>
          <w:tcPr>
            <w:tcW w:w="1345" w:type="dxa"/>
            <w:gridSpan w:val="3"/>
          </w:tcPr>
          <w:p w:rsidR="00403E49" w:rsidRPr="00C67E58" w:rsidRDefault="008E27BF" w:rsidP="00C67E58">
            <w:r w:rsidRPr="00C67E58">
              <w:t>202</w:t>
            </w:r>
            <w:r w:rsidR="009F5891">
              <w:t>6</w:t>
            </w:r>
          </w:p>
        </w:tc>
        <w:tc>
          <w:tcPr>
            <w:tcW w:w="1345" w:type="dxa"/>
          </w:tcPr>
          <w:p w:rsidR="00403E49" w:rsidRPr="00C67E58" w:rsidRDefault="008E27BF" w:rsidP="00C67E58">
            <w:r w:rsidRPr="00C67E58">
              <w:t>4</w:t>
            </w:r>
          </w:p>
        </w:tc>
        <w:tc>
          <w:tcPr>
            <w:tcW w:w="1558" w:type="dxa"/>
            <w:gridSpan w:val="3"/>
          </w:tcPr>
          <w:p w:rsidR="00403E49" w:rsidRPr="00C67E58" w:rsidRDefault="008E27BF" w:rsidP="00C67E58">
            <w:r w:rsidRPr="00C67E58">
              <w:t>4</w:t>
            </w:r>
          </w:p>
        </w:tc>
        <w:tc>
          <w:tcPr>
            <w:tcW w:w="1558" w:type="dxa"/>
            <w:gridSpan w:val="2"/>
          </w:tcPr>
          <w:p w:rsidR="00403E49" w:rsidRPr="00C67E58" w:rsidRDefault="008E27BF" w:rsidP="00C67E58">
            <w:r w:rsidRPr="00C67E58">
              <w:t>4</w:t>
            </w:r>
          </w:p>
        </w:tc>
        <w:tc>
          <w:tcPr>
            <w:tcW w:w="998" w:type="dxa"/>
          </w:tcPr>
          <w:p w:rsidR="00403E49" w:rsidRPr="00C67E58" w:rsidRDefault="008E27BF" w:rsidP="00C67E58">
            <w:r w:rsidRPr="00C67E58">
              <w:t>4</w:t>
            </w:r>
          </w:p>
        </w:tc>
        <w:tc>
          <w:tcPr>
            <w:tcW w:w="1700" w:type="dxa"/>
          </w:tcPr>
          <w:p w:rsidR="00403E49" w:rsidRPr="00C67E58" w:rsidRDefault="008E27BF" w:rsidP="00C67E58">
            <w:pPr>
              <w:tabs>
                <w:tab w:val="center" w:pos="4677"/>
                <w:tab w:val="right" w:pos="9355"/>
              </w:tabs>
            </w:pPr>
            <w:r w:rsidRPr="00C67E58">
              <w:t>4</w:t>
            </w:r>
          </w:p>
        </w:tc>
      </w:tr>
      <w:tr w:rsidR="00093015" w:rsidRPr="00C67E58" w:rsidTr="00093015">
        <w:trPr>
          <w:trHeight w:val="411"/>
        </w:trPr>
        <w:tc>
          <w:tcPr>
            <w:tcW w:w="770" w:type="dxa"/>
          </w:tcPr>
          <w:p w:rsidR="00093015" w:rsidRPr="00C67E58" w:rsidRDefault="00093015" w:rsidP="00C67E5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3831" w:type="dxa"/>
            <w:gridSpan w:val="16"/>
          </w:tcPr>
          <w:p w:rsidR="00093015" w:rsidRPr="00C67E58" w:rsidRDefault="00093015" w:rsidP="00C67E58">
            <w:pPr>
              <w:tabs>
                <w:tab w:val="center" w:pos="4677"/>
                <w:tab w:val="right" w:pos="9355"/>
              </w:tabs>
            </w:pPr>
            <w:r w:rsidRPr="00C67E58">
              <w:t xml:space="preserve">Подпрограмма </w:t>
            </w:r>
            <w:r w:rsidR="00C67E58" w:rsidRPr="00C67E58">
              <w:t xml:space="preserve">№ </w:t>
            </w:r>
            <w:r w:rsidRPr="00C67E58">
              <w:t>1 «</w:t>
            </w:r>
            <w:r w:rsidR="00C67E58" w:rsidRPr="00C67E58">
              <w:t>Реализация муниципальных функций, связанных с муниципальным управлением»</w:t>
            </w:r>
          </w:p>
        </w:tc>
      </w:tr>
      <w:tr w:rsidR="00C67E58" w:rsidRPr="00C67E58" w:rsidTr="00C67E58">
        <w:trPr>
          <w:trHeight w:val="411"/>
        </w:trPr>
        <w:tc>
          <w:tcPr>
            <w:tcW w:w="770" w:type="dxa"/>
          </w:tcPr>
          <w:p w:rsidR="00C67E58" w:rsidRPr="00C67E58" w:rsidRDefault="00C67E58" w:rsidP="00C67E5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C67E58" w:rsidRPr="00C67E58" w:rsidRDefault="00C67E58" w:rsidP="00C67E58">
            <w:pPr>
              <w:jc w:val="both"/>
            </w:pPr>
            <w:r w:rsidRPr="00C67E58">
              <w:t xml:space="preserve">увеличение объема налоговых и </w:t>
            </w:r>
            <w:r w:rsidRPr="00C67E58">
              <w:lastRenderedPageBreak/>
              <w:t>неналоговых доходов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E58" w:rsidRPr="00C67E58" w:rsidRDefault="00C67E58" w:rsidP="00C67E58">
            <w:pPr>
              <w:pStyle w:val="ab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E58" w:rsidRPr="00C67E58" w:rsidRDefault="00C67E58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3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C67E58" w:rsidRPr="00C67E58" w:rsidRDefault="00C67E58" w:rsidP="00C67E58">
            <w:r w:rsidRPr="00C67E58">
              <w:t>202</w:t>
            </w:r>
            <w:r w:rsidR="009F5891">
              <w:t>6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E58" w:rsidRPr="00C67E58" w:rsidRDefault="00C67E58" w:rsidP="00C67E58">
            <w:r w:rsidRPr="00C67E58">
              <w:t>10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</w:tcPr>
          <w:p w:rsidR="00C67E58" w:rsidRPr="00C67E58" w:rsidRDefault="00C67E58" w:rsidP="00C67E58">
            <w:r w:rsidRPr="00C67E58">
              <w:t>10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E58" w:rsidRPr="00C67E58" w:rsidRDefault="00C67E58" w:rsidP="00C67E58">
            <w:r w:rsidRPr="00C67E58">
              <w:t>10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E58" w:rsidRPr="00C67E58" w:rsidRDefault="00C67E58" w:rsidP="00C67E58">
            <w:r w:rsidRPr="00C67E58">
              <w:t>10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C67E58" w:rsidRPr="00C67E58" w:rsidRDefault="00C67E58" w:rsidP="00C67E58">
            <w:pPr>
              <w:tabs>
                <w:tab w:val="center" w:pos="4677"/>
                <w:tab w:val="right" w:pos="9355"/>
              </w:tabs>
            </w:pPr>
            <w:r w:rsidRPr="00C67E58">
              <w:t>10</w:t>
            </w:r>
          </w:p>
        </w:tc>
      </w:tr>
      <w:tr w:rsidR="00C67E58" w:rsidRPr="00C67E58" w:rsidTr="00C67E58">
        <w:trPr>
          <w:trHeight w:val="411"/>
        </w:trPr>
        <w:tc>
          <w:tcPr>
            <w:tcW w:w="770" w:type="dxa"/>
          </w:tcPr>
          <w:p w:rsidR="00C67E58" w:rsidRPr="00C67E58" w:rsidRDefault="00C67E58" w:rsidP="00C67E5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3831" w:type="dxa"/>
            <w:gridSpan w:val="16"/>
          </w:tcPr>
          <w:p w:rsidR="00C67E58" w:rsidRPr="00C67E58" w:rsidRDefault="00C67E58" w:rsidP="00C67E58">
            <w:pPr>
              <w:tabs>
                <w:tab w:val="center" w:pos="4677"/>
                <w:tab w:val="right" w:pos="9355"/>
              </w:tabs>
            </w:pPr>
            <w:r w:rsidRPr="00C67E58">
              <w:t>Подпрограмма № 2 «Обеспечение ведения бухгалтерского учета»</w:t>
            </w:r>
          </w:p>
        </w:tc>
      </w:tr>
      <w:tr w:rsidR="00C67E58" w:rsidRPr="00C67E58" w:rsidTr="00C67E58">
        <w:trPr>
          <w:trHeight w:val="890"/>
        </w:trPr>
        <w:tc>
          <w:tcPr>
            <w:tcW w:w="770" w:type="dxa"/>
          </w:tcPr>
          <w:p w:rsidR="00C67E58" w:rsidRPr="00C67E58" w:rsidRDefault="00C67E58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1.2</w:t>
            </w:r>
          </w:p>
        </w:tc>
        <w:tc>
          <w:tcPr>
            <w:tcW w:w="2490" w:type="dxa"/>
            <w:gridSpan w:val="2"/>
          </w:tcPr>
          <w:p w:rsidR="00C67E58" w:rsidRPr="00C67E58" w:rsidRDefault="00C67E58" w:rsidP="00C67E58">
            <w:pPr>
              <w:jc w:val="both"/>
            </w:pPr>
            <w:r w:rsidRPr="00C67E58">
              <w:t>количество обслуживаемых учреждений</w:t>
            </w:r>
          </w:p>
        </w:tc>
        <w:tc>
          <w:tcPr>
            <w:tcW w:w="1668" w:type="dxa"/>
            <w:gridSpan w:val="2"/>
          </w:tcPr>
          <w:p w:rsidR="00C67E58" w:rsidRPr="00C67E58" w:rsidRDefault="00C67E58" w:rsidP="00C67E58">
            <w:pPr>
              <w:pStyle w:val="ab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9" w:type="dxa"/>
          </w:tcPr>
          <w:p w:rsidR="00C67E58" w:rsidRPr="00C67E58" w:rsidRDefault="00C67E58" w:rsidP="00C67E58">
            <w:pPr>
              <w:tabs>
                <w:tab w:val="center" w:pos="4677"/>
                <w:tab w:val="right" w:pos="9355"/>
              </w:tabs>
              <w:jc w:val="center"/>
            </w:pPr>
            <w:r w:rsidRPr="00C67E58">
              <w:t>3</w:t>
            </w:r>
          </w:p>
        </w:tc>
        <w:tc>
          <w:tcPr>
            <w:tcW w:w="1345" w:type="dxa"/>
            <w:gridSpan w:val="3"/>
          </w:tcPr>
          <w:p w:rsidR="00C67E58" w:rsidRPr="00C67E58" w:rsidRDefault="00C67E58" w:rsidP="00C67E58">
            <w:r w:rsidRPr="00C67E58">
              <w:t>202</w:t>
            </w:r>
            <w:r w:rsidR="009F5891">
              <w:t>6</w:t>
            </w:r>
          </w:p>
        </w:tc>
        <w:tc>
          <w:tcPr>
            <w:tcW w:w="1345" w:type="dxa"/>
          </w:tcPr>
          <w:p w:rsidR="00C67E58" w:rsidRPr="00C67E58" w:rsidRDefault="00C67E58" w:rsidP="00C67E58">
            <w:r w:rsidRPr="00C67E58">
              <w:t>4</w:t>
            </w:r>
          </w:p>
        </w:tc>
        <w:tc>
          <w:tcPr>
            <w:tcW w:w="1558" w:type="dxa"/>
            <w:gridSpan w:val="3"/>
          </w:tcPr>
          <w:p w:rsidR="00C67E58" w:rsidRPr="00C67E58" w:rsidRDefault="00C67E58" w:rsidP="00C67E58">
            <w:r w:rsidRPr="00C67E58">
              <w:t>4</w:t>
            </w:r>
          </w:p>
        </w:tc>
        <w:tc>
          <w:tcPr>
            <w:tcW w:w="1558" w:type="dxa"/>
            <w:gridSpan w:val="2"/>
          </w:tcPr>
          <w:p w:rsidR="00C67E58" w:rsidRPr="00C67E58" w:rsidRDefault="00C67E58" w:rsidP="00C67E58">
            <w:r w:rsidRPr="00C67E58">
              <w:t>4</w:t>
            </w:r>
          </w:p>
        </w:tc>
        <w:tc>
          <w:tcPr>
            <w:tcW w:w="998" w:type="dxa"/>
          </w:tcPr>
          <w:p w:rsidR="00C67E58" w:rsidRPr="00C67E58" w:rsidRDefault="00C67E58" w:rsidP="00C67E58">
            <w:r w:rsidRPr="00C67E58">
              <w:t>4</w:t>
            </w:r>
          </w:p>
        </w:tc>
        <w:tc>
          <w:tcPr>
            <w:tcW w:w="1700" w:type="dxa"/>
          </w:tcPr>
          <w:p w:rsidR="00C67E58" w:rsidRPr="00C67E58" w:rsidRDefault="00C67E58" w:rsidP="00C67E58">
            <w:pPr>
              <w:tabs>
                <w:tab w:val="center" w:pos="4677"/>
                <w:tab w:val="right" w:pos="9355"/>
              </w:tabs>
            </w:pPr>
            <w:r w:rsidRPr="00C67E58">
              <w:t>4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C67E58" w:rsidRDefault="00C67E58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B64A1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B64A1" w:rsidRPr="008E27BF" w:rsidRDefault="000B64A1" w:rsidP="000B64A1">
      <w:pPr>
        <w:jc w:val="center"/>
        <w:rPr>
          <w:b/>
        </w:rPr>
      </w:pPr>
    </w:p>
    <w:p w:rsidR="000B64A1" w:rsidRPr="008E27BF" w:rsidRDefault="000B64A1" w:rsidP="000B64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0B64A1" w:rsidRPr="008E27BF" w:rsidRDefault="000B64A1" w:rsidP="000B64A1">
      <w:pPr>
        <w:jc w:val="center"/>
        <w:rPr>
          <w:b/>
        </w:rPr>
      </w:pPr>
      <w:r w:rsidRPr="008E27BF">
        <w:rPr>
          <w:b/>
        </w:rPr>
        <w:t>«</w:t>
      </w:r>
      <w:r w:rsidR="008E27BF" w:rsidRPr="008E27BF">
        <w:rPr>
          <w:b/>
        </w:rPr>
        <w:t>Эффективное муниципальное управление</w:t>
      </w:r>
      <w:r w:rsidRPr="008E27BF">
        <w:rPr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19052C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19052C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19052C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19052C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 w:rsidR="00C67E58"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C67E58" w:rsidRDefault="008E27BF" w:rsidP="00C67E58">
            <w:pPr>
              <w:jc w:val="both"/>
              <w:rPr>
                <w:color w:val="000000"/>
              </w:rPr>
            </w:pPr>
            <w:r w:rsidRPr="008E27BF">
              <w:rPr>
                <w:color w:val="000000"/>
              </w:rPr>
              <w:t xml:space="preserve">- создание условий для повышения эффективности бюджетных доходов и расходов, качества управления  муниципальными    финансами в </w:t>
            </w:r>
            <w:proofErr w:type="spellStart"/>
            <w:r w:rsidRPr="008E27BF">
              <w:rPr>
                <w:color w:val="000000"/>
              </w:rPr>
              <w:t>Ахтанизовском</w:t>
            </w:r>
            <w:proofErr w:type="spellEnd"/>
            <w:r w:rsidRPr="008E27BF">
              <w:rPr>
                <w:color w:val="000000"/>
              </w:rPr>
              <w:t xml:space="preserve"> сельском поселении Темрюкского района, повышения качества      финансового менеджмента в секторе муниципального управления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 w:rsidR="00C67E58">
              <w:rPr>
                <w:rFonts w:ascii="Times New Roman" w:hAnsi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C67E58" w:rsidRDefault="008E27BF" w:rsidP="00C67E58">
            <w:pPr>
              <w:rPr>
                <w:color w:val="000000"/>
              </w:rPr>
            </w:pPr>
            <w:r w:rsidRPr="008E27BF">
              <w:rPr>
                <w:color w:val="000000"/>
              </w:rPr>
              <w:t xml:space="preserve">- обеспечение долгосрочной сбалансированности и устойчивости бюджета </w:t>
            </w:r>
            <w:proofErr w:type="spellStart"/>
            <w:r w:rsidRPr="008E27BF">
              <w:rPr>
                <w:color w:val="000000"/>
              </w:rPr>
              <w:t>Ахтанизовского</w:t>
            </w:r>
            <w:proofErr w:type="spellEnd"/>
            <w:r w:rsidRPr="008E27BF">
              <w:rPr>
                <w:color w:val="000000"/>
              </w:rPr>
              <w:t xml:space="preserve"> сельского поселения Темрюкского района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8E27BF" w:rsidP="000B64A1">
            <w:pPr>
              <w:pStyle w:val="ac"/>
              <w:rPr>
                <w:rFonts w:ascii="Times New Roman" w:hAnsi="Times New Roman"/>
              </w:rPr>
            </w:pPr>
            <w:r w:rsidRPr="00C41F52">
              <w:rPr>
                <w:rFonts w:ascii="Times New Roman" w:hAnsi="Times New Roman"/>
              </w:rPr>
              <w:t xml:space="preserve">Реализация муниципальных функций, связанных с </w:t>
            </w:r>
            <w:r w:rsidRPr="00C41F52">
              <w:rPr>
                <w:rFonts w:ascii="Times New Roman" w:hAnsi="Times New Roman"/>
              </w:rPr>
              <w:lastRenderedPageBreak/>
              <w:t>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9F5891" w:rsidP="00F4280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0B64A1"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8E27BF" w:rsidP="000B64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9F589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9F5891" w:rsidP="000B64A1">
            <w:r>
              <w:t>6150,7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F" w:rsidRDefault="008E27BF" w:rsidP="008E27BF">
            <w:r w:rsidRPr="00B45B21">
              <w:t xml:space="preserve">Выплата </w:t>
            </w:r>
            <w:proofErr w:type="spellStart"/>
            <w:r w:rsidRPr="00B45B21">
              <w:t>з</w:t>
            </w:r>
            <w:proofErr w:type="spellEnd"/>
            <w:r w:rsidRPr="00B45B21">
              <w:t xml:space="preserve">/платы </w:t>
            </w:r>
            <w:r>
              <w:t>10</w:t>
            </w:r>
            <w:r w:rsidRPr="00B45B21">
              <w:t xml:space="preserve"> </w:t>
            </w:r>
            <w:r>
              <w:t>сотрудникам</w:t>
            </w:r>
          </w:p>
          <w:p w:rsidR="000B64A1" w:rsidRPr="0019052C" w:rsidRDefault="008E27BF" w:rsidP="008E27BF">
            <w:r>
              <w:t>оплата за экологию, налоги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  <w:p w:rsidR="00C67E58" w:rsidRPr="00C67E58" w:rsidRDefault="00C67E58" w:rsidP="00C67E58"/>
        </w:tc>
      </w:tr>
      <w:tr w:rsidR="00C67E58" w:rsidRPr="0019052C" w:rsidTr="00C67E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8" w:rsidRPr="0019052C" w:rsidRDefault="004B7438" w:rsidP="000B64A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8" w:rsidRPr="00C41F52" w:rsidRDefault="00C67E58" w:rsidP="00C67E58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58" w:rsidRPr="00C67E58" w:rsidRDefault="00C67E5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67E58">
              <w:rPr>
                <w:rFonts w:ascii="Times New Roman" w:hAnsi="Times New Roman" w:cs="Times New Roman"/>
                <w:spacing w:val="-2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C67E58" w:rsidRPr="0019052C" w:rsidTr="00C67E5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8" w:rsidRPr="0019052C" w:rsidRDefault="004B7438" w:rsidP="000B64A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8" w:rsidRPr="00C41F52" w:rsidRDefault="00C67E58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E58" w:rsidRPr="00C67E58" w:rsidRDefault="00C67E5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t>- 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0B64A1" w:rsidRPr="0019052C" w:rsidTr="0019052C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4B7438" w:rsidP="000B64A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  <w:r w:rsidR="000B64A1" w:rsidRPr="0019052C">
              <w:rPr>
                <w:rFonts w:ascii="Times New Roman" w:hAnsi="Times New Roman"/>
              </w:rPr>
              <w:t>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8E27BF" w:rsidP="000B64A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Обеспечение ведения бухгалтерского учета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9F5891" w:rsidP="00F42805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0B64A1"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9F5891" w:rsidP="00597D2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3363,7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9F5891" w:rsidP="000B64A1">
            <w:r>
              <w:t>3363,7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BF" w:rsidRDefault="008E27BF" w:rsidP="008E27BF">
            <w:r>
              <w:t xml:space="preserve">Выплата </w:t>
            </w:r>
            <w:proofErr w:type="spellStart"/>
            <w:r>
              <w:t>з</w:t>
            </w:r>
            <w:proofErr w:type="spellEnd"/>
            <w:r>
              <w:t>/платы 4 сотрудникам,</w:t>
            </w:r>
          </w:p>
          <w:p w:rsidR="008E27BF" w:rsidRDefault="008E27BF" w:rsidP="008E27BF">
            <w:r w:rsidRPr="00B45B21">
              <w:t>Оплата услуг связи и Интернет</w:t>
            </w:r>
          </w:p>
          <w:p w:rsidR="008E27BF" w:rsidRDefault="008E27BF" w:rsidP="008E27BF">
            <w:r w:rsidRPr="00B45B21">
              <w:t>Техобслуживание компьютеров и программ</w:t>
            </w:r>
          </w:p>
          <w:p w:rsidR="008E27BF" w:rsidRDefault="008E27BF" w:rsidP="008E27BF">
            <w:r w:rsidRPr="00B45B21">
              <w:t>Обучени</w:t>
            </w:r>
            <w:r>
              <w:t xml:space="preserve">е, программный сервис,  </w:t>
            </w:r>
          </w:p>
          <w:p w:rsidR="008E27BF" w:rsidRDefault="008E27BF" w:rsidP="008E27BF">
            <w:r w:rsidRPr="00B45B21">
              <w:t>Экология</w:t>
            </w:r>
            <w:r>
              <w:t>, налоги</w:t>
            </w:r>
          </w:p>
          <w:p w:rsidR="008E27BF" w:rsidRDefault="008E27BF" w:rsidP="008E27BF">
            <w:r>
              <w:t xml:space="preserve">Приобретение канцтоваров </w:t>
            </w:r>
          </w:p>
          <w:p w:rsidR="000B64A1" w:rsidRPr="0019052C" w:rsidRDefault="008E27BF" w:rsidP="008E27BF">
            <w:r>
              <w:t>Содержание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r w:rsidRPr="0019052C">
              <w:t xml:space="preserve">Администрация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8E27BF" w:rsidP="000B64A1">
            <w:pPr>
              <w:pStyle w:val="ac"/>
              <w:rPr>
                <w:rFonts w:ascii="Times New Roman" w:hAnsi="Times New Roman" w:cs="Times New Roman"/>
              </w:rPr>
            </w:pPr>
            <w:r w:rsidRPr="002B7E01">
              <w:rPr>
                <w:rFonts w:ascii="Times New Roman" w:hAnsi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F5891" w:rsidRDefault="009F589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F5891">
              <w:rPr>
                <w:rFonts w:ascii="Times New Roman" w:hAnsi="Times New Roman" w:cs="Times New Roman"/>
              </w:rPr>
              <w:t>9514,4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8E27BF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8E27BF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8E27BF" w:rsidRDefault="009F5891" w:rsidP="00597D21">
            <w:r>
              <w:t>9514,4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8E27BF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8E27BF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8E27BF"/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0B64A1" w:rsidRPr="005E6DE3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0B64A1" w:rsidRPr="005E6DE3" w:rsidRDefault="000B64A1" w:rsidP="000B64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pStyle w:val="ConsPlusNormal"/>
        <w:jc w:val="center"/>
        <w:rPr>
          <w:rFonts w:ascii="Times New Roman" w:hAnsi="Times New Roman" w:cs="Times New Roman"/>
        </w:rPr>
      </w:pP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  <w:lang w:eastAsia="ar-SA"/>
        </w:rPr>
      </w:pPr>
      <w:r w:rsidRPr="00ED2A8B">
        <w:rPr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</w:rPr>
        <w:t xml:space="preserve"> сельского поселения Темрюкского района от </w:t>
      </w:r>
      <w:r w:rsidRPr="00ED2A8B">
        <w:rPr>
          <w:color w:val="000000"/>
          <w:sz w:val="28"/>
          <w:szCs w:val="28"/>
          <w:shd w:val="clear" w:color="auto" w:fill="FFFFFF"/>
        </w:rPr>
        <w:t xml:space="preserve">30 августа 2024 года № 148 </w:t>
      </w:r>
      <w:r w:rsidRPr="00ED2A8B">
        <w:rPr>
          <w:sz w:val="28"/>
          <w:szCs w:val="28"/>
        </w:rPr>
        <w:t xml:space="preserve">«Об утверждении порядка </w:t>
      </w:r>
      <w:r w:rsidRPr="00ED2A8B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  <w:lang w:eastAsia="ar-SA"/>
        </w:rPr>
        <w:t xml:space="preserve"> сельского поселения Темрюкского района».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1.1. Оценка эффективности реализации муниципальной программы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1.2. Оценка эффективности реализации муниципальной программы рассчитывается на основании: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реализации мероприятий подпрограмм и основных мероприятий, включенных в муниципальную программу (далее - степень реализации мероприятий);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эффективности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подпрограмм, включенных в муниципальную программу (далее - оценка степени реализации подпрограммы);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из расчета оценки эффективности реализации муниципальной программы исключаются.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2. Оценка степени реализации мероприятий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2.1. Для оценки степени реализации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если фактическое значение непосредственного результата превышает его плановое значение,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случае если основное мероприятие, мероприятие подпрограммы имеет несколько показателей непосредственного результата, расчет проводится по каждому из них.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Оценка степени выполнения непосредственного результата по мероприятию, предусматривающему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определяется на основании отчетов об исполнении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2.4. В случае отсутствия количественной характеристики непосредственного результата степень выполнения мероприятия оценивается по наступлению или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ненаступлению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достижению качественного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2.5. Оценка степени выполнения непосредственного результата не определяется по мероприятиям, направленным на ликвидацию чрезвычайных ситуаций природного и техногенного характера, а также на предоставление страховых гарантий отдельным категориям граждан, в порядке, установленном нормативно - правовыми актами администрации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2.6. Степень реализации мероприятий рассчитывается для каждой подпрограммы и перечня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1B0EB5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EB5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base_23729_196884_32768" style="width:162pt;height:36.75pt;visibility:visible">
            <v:imagedata r:id="rId9" o:title="base_23729_196884_32768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степени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соответствия запланированному уровню расходов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) /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>аевого бюджета, в том числе источником финансирования которых являются межбюджетные трансферты из федерального бюджета,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в отчетном периоде. Используются данные об объемах бюджетных ассигнований в соответствии со сводной бюджетной росписью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по состоянию на 31 декабря отчетного года;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периоде. Используются данные об объемах бюджетных ассигнований, предусматриваемые в бюджете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внебюджетных источников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внебюджетных источников в отчетном периоде.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Используются данные по объемам расходов, предусмотренных за счет внебюджетных источников на реализацию подпрограммы (перечня основных мероприятий) в соответствии с действующей на момент проведения оценки эффективности реализации муниципальной программы редакцией муниципальной программы.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Если фактические расходы на реализацию подпрограммы (перечня основных мероприятий) из средств внебюджетных источников в отчетном периоде превышают плановые расходы, то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федерального, краевого и местных бюджетных источников (далее - бюджетные источники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= 0,6);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внебюджетных источников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0,4).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Если расходы на реализацию подпрограммы (перечня основных мероприятий) предусмотрены только за счет средств бюджетных источников,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1,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текущего финансового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года неисполненных денежных обязательств получателей средств бюджета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возникших в отчетном финансовом году,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финансирования в отчетном финансовом году денежных обязательств получателей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не исполненных по состоянию на 1 января отчетного финансового года,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91"/>
      <w:bookmarkEnd w:id="0"/>
      <w:r w:rsidRPr="00ED2A8B">
        <w:rPr>
          <w:rFonts w:ascii="Times New Roman" w:hAnsi="Times New Roman" w:cs="Times New Roman"/>
          <w:b w:val="0"/>
          <w:sz w:val="28"/>
          <w:szCs w:val="28"/>
        </w:rPr>
        <w:t>4. Оценка эффективности использования финансовых ресурсов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рассчитывается для каждой подпрограммы и перечня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0,7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0,3,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5. Оценка степени реализации 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5.1. Для оценки степени реализации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подпрограммы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5.3. Степень реализации подпрограммы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1B0EB5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0EB5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 id="Рисунок 3" o:spid="_x0000_i1027" type="#_x0000_t75" alt="base_23729_196884_32769" style="width:170.25pt;height:40.5pt;visibility:visible">
            <v:imagedata r:id="rId10" o:title="base_23729_196884_32769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К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6. Оценка эффективности реализации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подпрограммы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7. Оценка степени достижения целей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и решения задач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7.3. Степень достижения целей и решения задач муниципальной 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</w:t>
      </w:r>
      <w:r w:rsidR="001B0EB5" w:rsidRPr="00ED2A8B">
        <w:rPr>
          <w:rFonts w:ascii="Times New Roman" w:hAnsi="Times New Roman" w:cs="Times New Roman"/>
          <w:sz w:val="28"/>
          <w:szCs w:val="28"/>
        </w:rPr>
        <w:fldChar w:fldCharType="begin"/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973025" w:rsidRPr="001B0EB5">
        <w:rPr>
          <w:rFonts w:ascii="Times New Roman" w:hAnsi="Times New Roman" w:cs="Times New Roman"/>
          <w:position w:val="-8"/>
          <w:sz w:val="28"/>
          <w:szCs w:val="28"/>
        </w:rPr>
        <w:pict>
          <v:shape id="_x0000_i1028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B0EB5" w:rsidRPr="00ED2A8B">
        <w:rPr>
          <w:rFonts w:ascii="Times New Roman" w:hAnsi="Times New Roman" w:cs="Times New Roman"/>
          <w:sz w:val="28"/>
          <w:szCs w:val="28"/>
        </w:rPr>
        <w:fldChar w:fldCharType="separate"/>
      </w:r>
      <w:r w:rsidR="00973025" w:rsidRPr="001B0EB5">
        <w:rPr>
          <w:rFonts w:ascii="Times New Roman" w:hAnsi="Times New Roman" w:cs="Times New Roman"/>
          <w:position w:val="-8"/>
          <w:sz w:val="28"/>
          <w:szCs w:val="28"/>
        </w:rPr>
        <w:pict>
          <v:shape id="_x0000_i1029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1B0EB5" w:rsidRPr="00ED2A8B">
        <w:rPr>
          <w:rFonts w:ascii="Times New Roman" w:hAnsi="Times New Roman" w:cs="Times New Roman"/>
          <w:sz w:val="28"/>
          <w:szCs w:val="28"/>
        </w:rPr>
        <w:fldChar w:fldCharType="end"/>
      </w:r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М, где:               </w:t>
      </w:r>
      <w:r w:rsidRPr="00ED2A8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М - количество целевых показателей, характеризующих цели и задачи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8. Оценка эффективности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 xml:space="preserve">8.1. Выбор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формулы расчета эффективности реализации муниципальной 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зависит от структуры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8.1.1. В случае если муниципальная программа сформирована только из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8.1.2. В случае если муниципальная программа сформирована только из подпрограмм,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1B0EB5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9" editas="canvas" style="width:255.45pt;height:55.5pt;mso-position-horizontal-relative:char;mso-position-vertical-relative:line" coordsize="5109,1110">
            <o:lock v:ext="edit" aspectratio="t"/>
            <v:shape id="_x0000_s1050" type="#_x0000_t75" style="position:absolute;width:5109;height:1110" o:preferrelative="f">
              <v:fill o:detectmouseclick="t"/>
              <v:path o:extrusionok="t" o:connecttype="none"/>
              <o:lock v:ext="edit" text="t"/>
            </v:shape>
            <v:rect id="_x0000_s1051" style="position:absolute;width:4575;height:1080" stroked="f"/>
            <v:rect id="_x0000_s1052" style="position:absolute;left:45;top:375;width:365;height:345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53" style="position:absolute;left:405;top:510;width:281;height:276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4" style="position:absolute;left:630;top:375;width:170;height:345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55" style="position:absolute;left:825;top:375;width:526;height:345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56" style="position:absolute;left:1335;top:375;width:367;height:345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СР</w:t>
                    </w:r>
                  </w:p>
                </w:txbxContent>
              </v:textbox>
            </v:rect>
            <v:rect id="_x0000_s1057" style="position:absolute;left:1695;top:510;width:281;height:276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8" style="position:absolute;left:1920;top:375;width:170;height:345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59" style="position:absolute;left:2115;top:375;width:526;height:345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0" style="position:absolute;left:2820;top:60;width:67;height:276;mso-wrap-style:none" filled="f" stroked="f">
              <v:textbox style="mso-fit-shape-to-text:t" inset="0,0,0,0">
                <w:txbxContent>
                  <w:p w:rsidR="00C67E58" w:rsidRDefault="00C67E58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61" style="position:absolute;left:2790;top:795;width:121;height:276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2" style="position:absolute;left:2640;top:180;width:344;height:711;mso-wrap-style:none" filled="f" stroked="f">
              <v:textbox style="mso-fit-shape-to-text:t" inset="0,0,0,0">
                <w:txbxContent>
                  <w:p w:rsidR="00C67E58" w:rsidRPr="004446DD" w:rsidRDefault="00C67E58" w:rsidP="000B64A1">
                    <w:r>
                      <w:rPr>
                        <w:b/>
                        <w:bCs/>
                        <w:color w:val="000000"/>
                        <w:sz w:val="58"/>
                        <w:szCs w:val="58"/>
                        <w:lang w:val="en-US"/>
                      </w:rPr>
                      <w:sym w:font="Symbol" w:char="F053"/>
                    </w:r>
                  </w:p>
                </w:txbxContent>
              </v:textbox>
            </v:rect>
            <v:rect id="_x0000_s1063" style="position:absolute;left:3075;top:375;width:365;height:345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64" style="position:absolute;left:3435;top:525;width:129;height:276;mso-wrap-style:none" filled="f" stroked="f">
              <v:textbox style="mso-fit-shape-to-text:t" inset="0,0,0,0">
                <w:txbxContent>
                  <w:p w:rsidR="00C67E58" w:rsidRDefault="00C67E58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5" style="position:absolute;left:3570;top:525;width:67;height:276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66" style="position:absolute;left:3660;top:525;width:129;height:276;mso-wrap-style:none" filled="f" stroked="f">
              <v:textbox style="mso-fit-shape-to-text:t" inset="0,0,0,0">
                <w:txbxContent>
                  <w:p w:rsidR="00C67E58" w:rsidRDefault="00C67E58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7" style="position:absolute;left:3765;top:375;width:151;height:345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8" style="position:absolute;left:3900;top:375;width:147;height:345;mso-wrap-style:none" filled="f" stroked="f">
              <v:textbox style="mso-fit-shape-to-text:t" inset="0,0,0,0">
                <w:txbxContent>
                  <w:p w:rsidR="00C67E58" w:rsidRDefault="00C67E58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rect>
            <v:rect id="_x0000_s1069" style="position:absolute;left:4050;top:510;width:67;height:276;mso-wrap-style:none" filled="f" stroked="f">
              <v:textbox style="mso-fit-shape-to-text:t" inset="0,0,0,0">
                <w:txbxContent>
                  <w:p w:rsidR="00C67E58" w:rsidRDefault="00C67E58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70" style="position:absolute;left:4140;top:375;width:84;height:345;mso-wrap-style:none" filled="f" stroked="f">
              <v:textbox style="mso-fit-shape-to-text:t" inset="0,0,0,0">
                <w:txbxContent>
                  <w:p w:rsidR="00C67E58" w:rsidRDefault="00C67E58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71" style="position:absolute;left:4305;top:375;width:84;height:345;mso-wrap-style:none" filled="f" stroked="f">
              <v:textbox style="mso-fit-shape-to-text:t" inset="0,0,0,0">
                <w:txbxContent>
                  <w:p w:rsidR="00C67E58" w:rsidRDefault="00C67E58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anchorlock/>
          </v:group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федерального, краевого бюджетов (кассового исполнения) на реализацию j-ой подпрограммы в отчетном году;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федерального, краевого бюджетов (кассового исполнения) на реализацию муниципальной программы.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8.1.3. В случае если муниципальная программа сформирована из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подпрограмм и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программы,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973025" w:rsidP="000B64A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EB5">
        <w:rPr>
          <w:rFonts w:ascii="Times New Roman" w:hAnsi="Times New Roman" w:cs="Times New Roman"/>
          <w:sz w:val="28"/>
          <w:szCs w:val="28"/>
        </w:rPr>
        <w:pict>
          <v:shape id="_x0000_i1030" type="#_x0000_t75" style="width:267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70C7F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570C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­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Г—0,5+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1&lt;/m:t&gt;&lt;/m:r&gt;&lt;/m:sub&gt;&lt;m:sup&gt;&lt;m:r&gt;&lt;w:rPr&gt;&lt;w:rFonts w:ascii=&quot;Cambria Math&quot; w:h-ansi=&quot;Cambria Math&quot;/&gt;&lt;wx:font wx:val=&quot;Cambria Math&quot;/&gt;&lt;w:i/&gt;&lt;/w:rPr&gt;&lt;m:t&gt;j&lt;/m:t&gt;&lt;/m:r&gt;&lt;/m:sup&gt;&lt;m:e&gt;&lt;m:r&gt;&lt;w:rPr&gt;&lt;w:rFonts w:ascii=&quot;Cambria Math&quot; w:h-ansi=&quot;Cambria Math&quot;/&gt;&lt;wx:font wx:val=&quot;Cambria Math&quot;/&gt;&lt;w:i/&gt;&lt;/w:rPr&gt;&lt;m:t&gt;Р­&lt;/m:t&gt;&lt;/m:r&gt;&lt;/m:e&gt;&lt;/m:nary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ј/Рї&lt;/m:t&gt;&lt;/m:r&gt;&lt;/m:sub&gt;&lt;/m:sSub&gt;&lt;m:r&gt;&lt;w:rPr&gt;&lt;w:rFonts w:ascii=&quot;Cambria Math&quot; w:h-ansi=&quot;Cambria Math&quot;/&gt;&lt;wx:font wx:val=&quot;Cambria Math&quot;/&gt;&lt;w:i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4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­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ёСЃ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1, &lt;/m:t&gt;&lt;/m:r&gt;&lt;m:r&gt;&lt;w:rPr&gt;&lt;w:rFonts w:ascii=&quot;Cambria Math&quot; w:h-ansi=&quot;Cambria Math&quot;/&gt;&lt;wx:font wx:val=&quot;Cambria Math&quot;/&gt;&lt;w:i/&gt;&lt;/w:rPr&gt;&lt;m:t&gt;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0B64A1" w:rsidRPr="00ED2A8B" w:rsidRDefault="000B64A1" w:rsidP="000B64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(перечня основных мероприятий)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подпрограммы (перечня основных мероприятий) в отчетном году;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 - объем фактических расходов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B64A1" w:rsidRPr="005E6DE3" w:rsidRDefault="000B64A1" w:rsidP="000B64A1">
      <w:pPr>
        <w:ind w:firstLine="720"/>
        <w:jc w:val="both"/>
      </w:pPr>
    </w:p>
    <w:p w:rsidR="000B64A1" w:rsidRDefault="000B64A1" w:rsidP="000B64A1">
      <w:pPr>
        <w:jc w:val="both"/>
      </w:pPr>
    </w:p>
    <w:p w:rsidR="0019052C" w:rsidRDefault="0019052C" w:rsidP="000B64A1">
      <w:pPr>
        <w:jc w:val="both"/>
      </w:pPr>
    </w:p>
    <w:p w:rsidR="0019052C" w:rsidRDefault="0019052C" w:rsidP="000B64A1">
      <w:pPr>
        <w:jc w:val="both"/>
      </w:pPr>
    </w:p>
    <w:p w:rsidR="0019052C" w:rsidRPr="005E6DE3" w:rsidRDefault="0019052C" w:rsidP="000B64A1">
      <w:pPr>
        <w:jc w:val="both"/>
      </w:pPr>
    </w:p>
    <w:p w:rsidR="000B64A1" w:rsidRPr="00ED2A8B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Механизм реализации муниципальной программы и контроль</w:t>
      </w:r>
    </w:p>
    <w:p w:rsidR="000B64A1" w:rsidRPr="00ED2A8B" w:rsidRDefault="000B64A1" w:rsidP="000B6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представления;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Координаторы подпрограмм и участники муниципальной программы в пределах своей компетенции: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представляют координатору муниципальной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заполненные отчетные формы мониторинга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Заказчик: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ED2A8B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ED2A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7BF" w:rsidRDefault="008E27BF" w:rsidP="008E27BF">
      <w:pPr>
        <w:pStyle w:val="ae"/>
        <w:ind w:right="-141"/>
      </w:pPr>
      <w:bookmarkStart w:id="1" w:name="_GoBack"/>
      <w:bookmarkEnd w:id="1"/>
      <w:r w:rsidRPr="003F0666">
        <w:t xml:space="preserve">Начальник отдела </w:t>
      </w:r>
      <w:r>
        <w:t>финансов</w:t>
      </w:r>
    </w:p>
    <w:p w:rsidR="008E27BF" w:rsidRPr="003A20A2" w:rsidRDefault="008E27BF" w:rsidP="008E27BF">
      <w:pPr>
        <w:pStyle w:val="ae"/>
        <w:ind w:right="-141"/>
      </w:pPr>
      <w:r>
        <w:t xml:space="preserve">и экономического развития              </w:t>
      </w:r>
      <w:r w:rsidRPr="003F0666">
        <w:t xml:space="preserve">          </w:t>
      </w:r>
      <w:r>
        <w:t xml:space="preserve">                                           Ю.Г. </w:t>
      </w:r>
      <w:proofErr w:type="spellStart"/>
      <w:r>
        <w:t>Дянина</w:t>
      </w:r>
      <w:proofErr w:type="spellEnd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0E1" w:rsidRDefault="00B740E1">
      <w:r>
        <w:separator/>
      </w:r>
    </w:p>
  </w:endnote>
  <w:endnote w:type="continuationSeparator" w:id="0">
    <w:p w:rsidR="00B740E1" w:rsidRDefault="00B74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0E1" w:rsidRDefault="00B740E1">
      <w:r>
        <w:separator/>
      </w:r>
    </w:p>
  </w:footnote>
  <w:footnote w:type="continuationSeparator" w:id="0">
    <w:p w:rsidR="00B740E1" w:rsidRDefault="00B74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58" w:rsidRDefault="001B0EB5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67E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3025">
      <w:rPr>
        <w:rStyle w:val="a8"/>
        <w:noProof/>
      </w:rPr>
      <w:t>13</w:t>
    </w:r>
    <w:r>
      <w:rPr>
        <w:rStyle w:val="a8"/>
      </w:rPr>
      <w:fldChar w:fldCharType="end"/>
    </w:r>
  </w:p>
  <w:p w:rsidR="00C67E58" w:rsidRDefault="00C67E5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E58" w:rsidRDefault="001B0EB5">
    <w:pPr>
      <w:pStyle w:val="a6"/>
      <w:jc w:val="center"/>
    </w:pPr>
    <w:fldSimple w:instr=" PAGE   \* MERGEFORMAT ">
      <w:r w:rsidR="00973025">
        <w:rPr>
          <w:noProof/>
        </w:rPr>
        <w:t>1</w:t>
      </w:r>
    </w:fldSimple>
  </w:p>
  <w:p w:rsidR="00C67E58" w:rsidRDefault="00C67E5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2157"/>
    <w:rsid w:val="00045672"/>
    <w:rsid w:val="0004682D"/>
    <w:rsid w:val="000620D2"/>
    <w:rsid w:val="00074972"/>
    <w:rsid w:val="00082400"/>
    <w:rsid w:val="00082B5F"/>
    <w:rsid w:val="00093015"/>
    <w:rsid w:val="0009527C"/>
    <w:rsid w:val="000A391E"/>
    <w:rsid w:val="000B1E06"/>
    <w:rsid w:val="000B2C42"/>
    <w:rsid w:val="000B43FE"/>
    <w:rsid w:val="000B64A1"/>
    <w:rsid w:val="000C7168"/>
    <w:rsid w:val="000E6216"/>
    <w:rsid w:val="0010014A"/>
    <w:rsid w:val="0011657B"/>
    <w:rsid w:val="001211B7"/>
    <w:rsid w:val="001262FF"/>
    <w:rsid w:val="00127563"/>
    <w:rsid w:val="0013540A"/>
    <w:rsid w:val="00153FED"/>
    <w:rsid w:val="001638EB"/>
    <w:rsid w:val="00175338"/>
    <w:rsid w:val="00177A57"/>
    <w:rsid w:val="0019052C"/>
    <w:rsid w:val="001A0088"/>
    <w:rsid w:val="001A4969"/>
    <w:rsid w:val="001B0EB5"/>
    <w:rsid w:val="001B10F3"/>
    <w:rsid w:val="001B7EA2"/>
    <w:rsid w:val="001D3049"/>
    <w:rsid w:val="00205A31"/>
    <w:rsid w:val="002246B7"/>
    <w:rsid w:val="00231598"/>
    <w:rsid w:val="00245918"/>
    <w:rsid w:val="0025434B"/>
    <w:rsid w:val="0026387C"/>
    <w:rsid w:val="00267F7F"/>
    <w:rsid w:val="0028317D"/>
    <w:rsid w:val="002A1ED2"/>
    <w:rsid w:val="002C2F21"/>
    <w:rsid w:val="002C464D"/>
    <w:rsid w:val="002D576C"/>
    <w:rsid w:val="002D7163"/>
    <w:rsid w:val="002F15A1"/>
    <w:rsid w:val="002F3764"/>
    <w:rsid w:val="00306A41"/>
    <w:rsid w:val="003371C7"/>
    <w:rsid w:val="00353438"/>
    <w:rsid w:val="00371E4C"/>
    <w:rsid w:val="00372CE0"/>
    <w:rsid w:val="003E523A"/>
    <w:rsid w:val="003E7151"/>
    <w:rsid w:val="003F5F69"/>
    <w:rsid w:val="004034E3"/>
    <w:rsid w:val="00403E49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642"/>
    <w:rsid w:val="004524DD"/>
    <w:rsid w:val="00467A32"/>
    <w:rsid w:val="004746DB"/>
    <w:rsid w:val="00475C77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B7438"/>
    <w:rsid w:val="004C364D"/>
    <w:rsid w:val="004F33BC"/>
    <w:rsid w:val="004F479C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46B5"/>
    <w:rsid w:val="00575BAC"/>
    <w:rsid w:val="00576FC1"/>
    <w:rsid w:val="00585C4A"/>
    <w:rsid w:val="00597D21"/>
    <w:rsid w:val="005C1213"/>
    <w:rsid w:val="005C73F4"/>
    <w:rsid w:val="005D6BEE"/>
    <w:rsid w:val="005E2293"/>
    <w:rsid w:val="005F0258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84132"/>
    <w:rsid w:val="00885F64"/>
    <w:rsid w:val="00887BF3"/>
    <w:rsid w:val="00895085"/>
    <w:rsid w:val="00896527"/>
    <w:rsid w:val="008B2485"/>
    <w:rsid w:val="008B75BD"/>
    <w:rsid w:val="008C436F"/>
    <w:rsid w:val="008D7420"/>
    <w:rsid w:val="008D765B"/>
    <w:rsid w:val="008E27BF"/>
    <w:rsid w:val="008F41AB"/>
    <w:rsid w:val="00914505"/>
    <w:rsid w:val="00932019"/>
    <w:rsid w:val="00937B5A"/>
    <w:rsid w:val="009501E3"/>
    <w:rsid w:val="00973025"/>
    <w:rsid w:val="00987CD7"/>
    <w:rsid w:val="009A65F6"/>
    <w:rsid w:val="009C5AD4"/>
    <w:rsid w:val="009D216B"/>
    <w:rsid w:val="009F4C01"/>
    <w:rsid w:val="009F5891"/>
    <w:rsid w:val="00A05E82"/>
    <w:rsid w:val="00A216EC"/>
    <w:rsid w:val="00A361CB"/>
    <w:rsid w:val="00A45ED4"/>
    <w:rsid w:val="00A479B6"/>
    <w:rsid w:val="00A532A4"/>
    <w:rsid w:val="00A53D94"/>
    <w:rsid w:val="00A6150F"/>
    <w:rsid w:val="00A66456"/>
    <w:rsid w:val="00AD6A84"/>
    <w:rsid w:val="00B10FDD"/>
    <w:rsid w:val="00B128BF"/>
    <w:rsid w:val="00B139DC"/>
    <w:rsid w:val="00B24346"/>
    <w:rsid w:val="00B27694"/>
    <w:rsid w:val="00B42EF3"/>
    <w:rsid w:val="00B50230"/>
    <w:rsid w:val="00B52C22"/>
    <w:rsid w:val="00B55799"/>
    <w:rsid w:val="00B740E1"/>
    <w:rsid w:val="00B741A9"/>
    <w:rsid w:val="00B7675D"/>
    <w:rsid w:val="00B8732B"/>
    <w:rsid w:val="00B90909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7227"/>
    <w:rsid w:val="00C67E58"/>
    <w:rsid w:val="00C747EB"/>
    <w:rsid w:val="00C95FDE"/>
    <w:rsid w:val="00C97B7D"/>
    <w:rsid w:val="00CA5A94"/>
    <w:rsid w:val="00CB080D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2784"/>
    <w:rsid w:val="00F37B57"/>
    <w:rsid w:val="00F4110E"/>
    <w:rsid w:val="00F42327"/>
    <w:rsid w:val="00F42805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uiPriority w:val="99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09301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26904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79</cp:revision>
  <cp:lastPrinted>2025-11-06T15:58:00Z</cp:lastPrinted>
  <dcterms:created xsi:type="dcterms:W3CDTF">2014-11-10T12:47:00Z</dcterms:created>
  <dcterms:modified xsi:type="dcterms:W3CDTF">2025-11-06T15:58:00Z</dcterms:modified>
</cp:coreProperties>
</file>