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УТВЕРЖДЕНА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BC65D5">
        <w:rPr>
          <w:spacing w:val="-12"/>
          <w:sz w:val="28"/>
          <w:szCs w:val="28"/>
        </w:rPr>
        <w:t xml:space="preserve">      </w:t>
      </w:r>
      <w:r w:rsidR="00042157">
        <w:rPr>
          <w:spacing w:val="-12"/>
          <w:sz w:val="28"/>
          <w:szCs w:val="28"/>
        </w:rPr>
        <w:t xml:space="preserve">от </w:t>
      </w:r>
      <w:r w:rsidR="00826DA1">
        <w:rPr>
          <w:spacing w:val="-12"/>
          <w:sz w:val="28"/>
          <w:szCs w:val="28"/>
        </w:rPr>
        <w:t xml:space="preserve">31.10.2025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826DA1">
        <w:rPr>
          <w:spacing w:val="-12"/>
          <w:sz w:val="28"/>
          <w:szCs w:val="28"/>
        </w:rPr>
        <w:t>225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Pr="00414F2E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>Муниципальная программа</w:t>
      </w:r>
    </w:p>
    <w:p w:rsidR="000B64A1" w:rsidRPr="00DA42E5" w:rsidRDefault="000B64A1" w:rsidP="00DA42E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F2E">
        <w:rPr>
          <w:b/>
          <w:bCs/>
          <w:sz w:val="28"/>
          <w:szCs w:val="28"/>
        </w:rPr>
        <w:t xml:space="preserve"> </w:t>
      </w:r>
      <w:r w:rsidRPr="007708BB">
        <w:rPr>
          <w:b/>
          <w:bCs/>
          <w:sz w:val="28"/>
          <w:szCs w:val="28"/>
        </w:rPr>
        <w:t>«</w:t>
      </w:r>
      <w:r w:rsidR="00CB7F21">
        <w:rPr>
          <w:rFonts w:ascii="Times New Roman" w:hAnsi="Times New Roman" w:cs="Times New Roman"/>
          <w:b/>
          <w:sz w:val="28"/>
          <w:szCs w:val="28"/>
        </w:rPr>
        <w:t xml:space="preserve">Развитие культуры  </w:t>
      </w:r>
      <w:proofErr w:type="spellStart"/>
      <w:r w:rsidR="00CB7F21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CB7F21" w:rsidRPr="000B271E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CB7F21">
        <w:rPr>
          <w:rFonts w:ascii="Times New Roman" w:hAnsi="Times New Roman" w:cs="Times New Roman"/>
          <w:b/>
          <w:sz w:val="28"/>
          <w:szCs w:val="28"/>
        </w:rPr>
        <w:t xml:space="preserve">го поселения </w:t>
      </w:r>
      <w:r w:rsidR="00CB7F21" w:rsidRPr="00DA42E5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  <w:r w:rsidRPr="00DA42E5"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 xml:space="preserve"> </w:t>
      </w:r>
    </w:p>
    <w:p w:rsidR="000B64A1" w:rsidRPr="00937B5A" w:rsidRDefault="000B64A1" w:rsidP="000B64A1">
      <w:pPr>
        <w:jc w:val="center"/>
        <w:rPr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937B5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B7EA2">
        <w:rPr>
          <w:b/>
          <w:bCs/>
          <w:sz w:val="28"/>
          <w:szCs w:val="28"/>
        </w:rPr>
        <w:t xml:space="preserve"> </w:t>
      </w:r>
      <w:r w:rsidRPr="00937B5A">
        <w:rPr>
          <w:b/>
          <w:bCs/>
          <w:sz w:val="28"/>
          <w:szCs w:val="28"/>
        </w:rPr>
        <w:t xml:space="preserve">ПАСПОРТ </w:t>
      </w:r>
    </w:p>
    <w:p w:rsidR="000B64A1" w:rsidRPr="001B7EA2" w:rsidRDefault="00CB7F21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B64A1">
        <w:rPr>
          <w:b/>
          <w:bCs/>
          <w:sz w:val="28"/>
          <w:szCs w:val="28"/>
        </w:rPr>
        <w:t>униципальной программы</w:t>
      </w:r>
    </w:p>
    <w:p w:rsidR="00CB7F21" w:rsidRDefault="000B64A1" w:rsidP="00CB7F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230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B7F21" w:rsidRPr="00447230">
        <w:rPr>
          <w:rFonts w:ascii="Times New Roman" w:hAnsi="Times New Roman" w:cs="Times New Roman"/>
          <w:b/>
          <w:sz w:val="28"/>
          <w:szCs w:val="28"/>
        </w:rPr>
        <w:t>Развитие</w:t>
      </w:r>
      <w:r w:rsidR="00CB7F21">
        <w:rPr>
          <w:rFonts w:ascii="Times New Roman" w:hAnsi="Times New Roman" w:cs="Times New Roman"/>
          <w:b/>
          <w:sz w:val="28"/>
          <w:szCs w:val="28"/>
        </w:rPr>
        <w:t xml:space="preserve"> культуры  </w:t>
      </w:r>
      <w:proofErr w:type="spellStart"/>
      <w:r w:rsidR="00CB7F21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CB7F21" w:rsidRPr="000B271E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CB7F21">
        <w:rPr>
          <w:rFonts w:ascii="Times New Roman" w:hAnsi="Times New Roman" w:cs="Times New Roman"/>
          <w:b/>
          <w:sz w:val="28"/>
          <w:szCs w:val="28"/>
        </w:rPr>
        <w:t xml:space="preserve">го поселения </w:t>
      </w:r>
    </w:p>
    <w:p w:rsidR="000B64A1" w:rsidRDefault="00CB7F21" w:rsidP="00CB7F21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  <w:r w:rsidR="000B64A1">
        <w:rPr>
          <w:b/>
          <w:bCs/>
          <w:sz w:val="28"/>
          <w:szCs w:val="28"/>
        </w:rPr>
        <w:t xml:space="preserve">» 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CB7F2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финансов и экономического развития администрация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 w:rsidRPr="00DC3A21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8214" w:type="dxa"/>
            <w:gridSpan w:val="5"/>
          </w:tcPr>
          <w:p w:rsidR="000B64A1" w:rsidRPr="00ED2A8B" w:rsidRDefault="00CB7F2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финансов и экономического развития администрация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 w:rsidRPr="00DC3A21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CB7F2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Муниципальное бюджетное учреждение культуры «</w:t>
            </w:r>
            <w:proofErr w:type="spellStart"/>
            <w:r>
              <w:rPr>
                <w:sz w:val="28"/>
                <w:szCs w:val="28"/>
              </w:rPr>
              <w:t>Ахтанизовский</w:t>
            </w:r>
            <w:proofErr w:type="spellEnd"/>
            <w:r>
              <w:rPr>
                <w:sz w:val="28"/>
                <w:szCs w:val="28"/>
              </w:rPr>
              <w:t xml:space="preserve"> культурно-социальный центр»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 w:rsidRPr="00DC3A21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14" w:type="dxa"/>
            <w:gridSpan w:val="5"/>
          </w:tcPr>
          <w:p w:rsidR="00CB7F21" w:rsidRPr="00B92002" w:rsidRDefault="00CB7F21" w:rsidP="00CB7F2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 «Обеспечение</w:t>
            </w:r>
            <w:r w:rsidRPr="00B92002">
              <w:rPr>
                <w:rFonts w:ascii="Times New Roman" w:hAnsi="Times New Roman"/>
                <w:sz w:val="28"/>
                <w:szCs w:val="28"/>
              </w:rPr>
              <w:t xml:space="preserve"> деятельности МБУ</w:t>
            </w:r>
            <w:r>
              <w:rPr>
                <w:rFonts w:ascii="Times New Roman" w:hAnsi="Times New Roman"/>
                <w:sz w:val="28"/>
                <w:szCs w:val="28"/>
              </w:rPr>
              <w:t>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Ахтанизовский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КСЦ» </w:t>
            </w:r>
          </w:p>
          <w:p w:rsidR="000B64A1" w:rsidRPr="00ED2A8B" w:rsidRDefault="00CB7F21" w:rsidP="00CB7F21">
            <w:pPr>
              <w:ind w:right="282"/>
              <w:rPr>
                <w:sz w:val="28"/>
                <w:szCs w:val="28"/>
              </w:rPr>
            </w:pPr>
            <w:r w:rsidRPr="00A171C3">
              <w:rPr>
                <w:sz w:val="28"/>
                <w:szCs w:val="28"/>
              </w:rPr>
              <w:t>2) «Ремонт здания Дома культуры»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8214" w:type="dxa"/>
            <w:gridSpan w:val="5"/>
          </w:tcPr>
          <w:p w:rsidR="00CB7F21" w:rsidRPr="00CB7F21" w:rsidRDefault="00CB7F21" w:rsidP="00CB7F21">
            <w:pPr>
              <w:jc w:val="both"/>
              <w:rPr>
                <w:sz w:val="28"/>
                <w:szCs w:val="28"/>
              </w:rPr>
            </w:pPr>
            <w:r w:rsidRPr="00CB7F21">
              <w:rPr>
                <w:sz w:val="28"/>
                <w:szCs w:val="28"/>
              </w:rPr>
              <w:t xml:space="preserve">- повышение качества и доступности муниципальных услуг сферы </w:t>
            </w:r>
            <w:r w:rsidRPr="00CB7F21">
              <w:rPr>
                <w:sz w:val="28"/>
                <w:szCs w:val="28"/>
              </w:rPr>
              <w:lastRenderedPageBreak/>
              <w:t>культуры для всех категорий потребителей, комплектование и обеспечение сохранности библиотечных фондов;</w:t>
            </w:r>
          </w:p>
          <w:p w:rsidR="000B64A1" w:rsidRPr="00ED2A8B" w:rsidRDefault="00CB7F21" w:rsidP="00CB7F21">
            <w:pPr>
              <w:ind w:right="616"/>
              <w:rPr>
                <w:sz w:val="28"/>
                <w:szCs w:val="28"/>
              </w:rPr>
            </w:pPr>
            <w:r w:rsidRPr="00CB7F21">
              <w:rPr>
                <w:sz w:val="28"/>
                <w:szCs w:val="28"/>
              </w:rPr>
              <w:t xml:space="preserve">- </w:t>
            </w:r>
            <w:r w:rsidRPr="00CB7F21">
              <w:rPr>
                <w:spacing w:val="11"/>
                <w:sz w:val="28"/>
                <w:szCs w:val="28"/>
              </w:rPr>
              <w:t xml:space="preserve">безаварийное состояние </w:t>
            </w:r>
            <w:r w:rsidRPr="00CB7F21">
              <w:rPr>
                <w:sz w:val="28"/>
                <w:szCs w:val="28"/>
              </w:rPr>
              <w:t xml:space="preserve">здания, приведение технического состояния </w:t>
            </w:r>
            <w:r>
              <w:rPr>
                <w:spacing w:val="11"/>
                <w:sz w:val="28"/>
                <w:szCs w:val="28"/>
              </w:rPr>
              <w:t>объекта в со</w:t>
            </w:r>
            <w:r w:rsidRPr="00CB7F21">
              <w:rPr>
                <w:spacing w:val="11"/>
                <w:sz w:val="28"/>
                <w:szCs w:val="28"/>
              </w:rPr>
              <w:t xml:space="preserve">ответствие с нормативными требованиями безопасности, </w:t>
            </w:r>
            <w:r w:rsidRPr="00CB7F21">
              <w:rPr>
                <w:spacing w:val="-3"/>
                <w:sz w:val="28"/>
                <w:szCs w:val="28"/>
              </w:rPr>
              <w:t>санитарных норм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Задачи муниципальной программы</w:t>
            </w:r>
          </w:p>
        </w:tc>
        <w:tc>
          <w:tcPr>
            <w:tcW w:w="8214" w:type="dxa"/>
            <w:gridSpan w:val="5"/>
          </w:tcPr>
          <w:p w:rsidR="00CB7F21" w:rsidRDefault="00CB7F21" w:rsidP="00CB7F21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77AD">
              <w:rPr>
                <w:rFonts w:ascii="Times New Roman" w:hAnsi="Times New Roman"/>
                <w:sz w:val="28"/>
                <w:szCs w:val="28"/>
              </w:rPr>
              <w:t>- создание условий для свободного и оперативного доступа к информационным ресурсам и знаниям учреждения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77AD">
              <w:rPr>
                <w:rFonts w:ascii="Times New Roman" w:hAnsi="Times New Roman"/>
                <w:sz w:val="28"/>
                <w:szCs w:val="28"/>
              </w:rPr>
              <w:t>увеличение библиотечного фонда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B64A1" w:rsidRPr="00ED2A8B" w:rsidRDefault="00CB7F21" w:rsidP="00CB7F21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710D17">
              <w:rPr>
                <w:color w:val="000000"/>
                <w:spacing w:val="1"/>
                <w:sz w:val="28"/>
                <w:szCs w:val="28"/>
              </w:rPr>
              <w:t xml:space="preserve">проведение текущего </w:t>
            </w:r>
            <w:proofErr w:type="gramStart"/>
            <w:r w:rsidRPr="00710D17">
              <w:rPr>
                <w:color w:val="000000"/>
                <w:spacing w:val="1"/>
                <w:sz w:val="28"/>
                <w:szCs w:val="28"/>
              </w:rPr>
              <w:t xml:space="preserve">ремонта фасада здания </w:t>
            </w:r>
            <w:r w:rsidRPr="00710D17">
              <w:rPr>
                <w:sz w:val="28"/>
                <w:szCs w:val="28"/>
              </w:rPr>
              <w:t>Дома культуры</w:t>
            </w:r>
            <w:proofErr w:type="gramEnd"/>
            <w:r w:rsidRPr="00710D17">
              <w:rPr>
                <w:sz w:val="28"/>
                <w:szCs w:val="28"/>
              </w:rPr>
              <w:t xml:space="preserve"> в ст. </w:t>
            </w:r>
            <w:proofErr w:type="spellStart"/>
            <w:r w:rsidRPr="00710D17">
              <w:rPr>
                <w:sz w:val="28"/>
                <w:szCs w:val="28"/>
              </w:rPr>
              <w:t>Ахтанизовской</w:t>
            </w:r>
            <w:proofErr w:type="spellEnd"/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CB7F21" w:rsidRPr="009315C1" w:rsidRDefault="00CB7F21" w:rsidP="00CB7F2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3163F4">
              <w:rPr>
                <w:sz w:val="28"/>
                <w:szCs w:val="28"/>
              </w:rPr>
              <w:t xml:space="preserve">количество проведенных </w:t>
            </w:r>
            <w:r w:rsidRPr="009315C1">
              <w:rPr>
                <w:sz w:val="28"/>
                <w:szCs w:val="28"/>
              </w:rPr>
              <w:t>мероприятий;</w:t>
            </w:r>
          </w:p>
          <w:p w:rsidR="000B64A1" w:rsidRPr="00ED2A8B" w:rsidRDefault="00CB7F21" w:rsidP="00CB7F21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9315C1">
              <w:rPr>
                <w:sz w:val="28"/>
                <w:szCs w:val="28"/>
              </w:rPr>
              <w:t>- качество выполненных работ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Проекты и (или)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DC0FA4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DC0FA4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FA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C0FA4" w:rsidRPr="00DC0F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C0FA4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447230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C0FA4">
              <w:rPr>
                <w:rFonts w:ascii="Times New Roman" w:hAnsi="Times New Roman" w:cs="Times New Roman"/>
                <w:sz w:val="28"/>
                <w:szCs w:val="28"/>
              </w:rPr>
              <w:t>449,6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DC0FA4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7449,6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DC0FA4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FA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DC0FA4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7449,6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DC0FA4" w:rsidP="00474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7449,6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DC0FA4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FA4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DC0FA4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DC0FA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C0FA4" w:rsidRPr="00DC0FA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C0FA4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14678" w:type="dxa"/>
            <w:gridSpan w:val="6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DC0FA4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474F6C">
        <w:tc>
          <w:tcPr>
            <w:tcW w:w="646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474F6C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Pr="00ED2A8B" w:rsidRDefault="000B64A1" w:rsidP="000B64A1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2A8B">
        <w:rPr>
          <w:rFonts w:ascii="Times New Roman" w:hAnsi="Times New Roman"/>
          <w:b/>
          <w:sz w:val="28"/>
          <w:szCs w:val="28"/>
        </w:rPr>
        <w:t>1. Целевые показатели муниципальной программы</w:t>
      </w: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  <w:r w:rsidRPr="00ED2A8B">
        <w:rPr>
          <w:sz w:val="28"/>
          <w:szCs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0B64A1" w:rsidRPr="00ED2A8B" w:rsidRDefault="000B64A1" w:rsidP="000B64A1">
      <w:pPr>
        <w:jc w:val="center"/>
        <w:rPr>
          <w:sz w:val="28"/>
          <w:szCs w:val="28"/>
        </w:rPr>
      </w:pP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CB7F21" w:rsidRDefault="000B64A1" w:rsidP="00CB7F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DE3">
        <w:rPr>
          <w:b/>
        </w:rPr>
        <w:t>«</w:t>
      </w:r>
      <w:r w:rsidR="00CB7F21">
        <w:rPr>
          <w:rFonts w:ascii="Times New Roman" w:hAnsi="Times New Roman" w:cs="Times New Roman"/>
          <w:b/>
          <w:sz w:val="28"/>
          <w:szCs w:val="28"/>
        </w:rPr>
        <w:t xml:space="preserve">Развитие культуры  </w:t>
      </w:r>
      <w:proofErr w:type="spellStart"/>
      <w:r w:rsidR="00CB7F21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CB7F21" w:rsidRPr="000B271E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CB7F21">
        <w:rPr>
          <w:rFonts w:ascii="Times New Roman" w:hAnsi="Times New Roman" w:cs="Times New Roman"/>
          <w:b/>
          <w:sz w:val="28"/>
          <w:szCs w:val="28"/>
        </w:rPr>
        <w:t xml:space="preserve">го поселения </w:t>
      </w:r>
    </w:p>
    <w:p w:rsidR="000B64A1" w:rsidRPr="005E6DE3" w:rsidRDefault="00CB7F21" w:rsidP="00CB7F21">
      <w:pPr>
        <w:jc w:val="center"/>
        <w:rPr>
          <w:b/>
        </w:rPr>
      </w:pPr>
      <w:r>
        <w:rPr>
          <w:b/>
          <w:sz w:val="28"/>
          <w:szCs w:val="28"/>
        </w:rPr>
        <w:t>Темрюкского района</w:t>
      </w:r>
      <w:r w:rsidR="000B64A1" w:rsidRPr="005E6DE3">
        <w:rPr>
          <w:b/>
        </w:rPr>
        <w:t>»</w:t>
      </w:r>
    </w:p>
    <w:p w:rsidR="000B64A1" w:rsidRPr="005E6DE3" w:rsidRDefault="000B64A1" w:rsidP="000B64A1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579"/>
        <w:gridCol w:w="932"/>
        <w:gridCol w:w="1721"/>
      </w:tblGrid>
      <w:tr w:rsidR="000B64A1" w:rsidRPr="000964F7" w:rsidTr="00474F6C">
        <w:tc>
          <w:tcPr>
            <w:tcW w:w="776" w:type="dxa"/>
            <w:vMerge w:val="restart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№ </w:t>
            </w:r>
            <w:proofErr w:type="spellStart"/>
            <w:proofErr w:type="gramStart"/>
            <w:r w:rsidRPr="000964F7">
              <w:t>п</w:t>
            </w:r>
            <w:proofErr w:type="spellEnd"/>
            <w:proofErr w:type="gramEnd"/>
            <w:r w:rsidRPr="000964F7">
              <w:t>/</w:t>
            </w:r>
            <w:proofErr w:type="spellStart"/>
            <w:r w:rsidRPr="000964F7">
              <w:t>п</w:t>
            </w:r>
            <w:proofErr w:type="spellEnd"/>
          </w:p>
        </w:tc>
        <w:tc>
          <w:tcPr>
            <w:tcW w:w="2485" w:type="dxa"/>
            <w:vMerge w:val="restart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0B64A1" w:rsidRPr="000964F7" w:rsidTr="00474F6C">
        <w:tc>
          <w:tcPr>
            <w:tcW w:w="776" w:type="dxa"/>
            <w:vMerge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932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0B64A1" w:rsidRPr="000964F7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</w:t>
            </w:r>
            <w:proofErr w:type="spellStart"/>
            <w:r w:rsidRPr="000964F7">
              <w:t>й</w:t>
            </w:r>
            <w:proofErr w:type="spellEnd"/>
            <w:r w:rsidRPr="000964F7">
              <w:t xml:space="preserve"> год реализации</w:t>
            </w:r>
          </w:p>
        </w:tc>
      </w:tr>
    </w:tbl>
    <w:p w:rsidR="000B64A1" w:rsidRPr="000964F7" w:rsidRDefault="000B64A1" w:rsidP="000B64A1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2471"/>
        <w:gridCol w:w="17"/>
        <w:gridCol w:w="1650"/>
        <w:gridCol w:w="16"/>
        <w:gridCol w:w="1140"/>
        <w:gridCol w:w="29"/>
        <w:gridCol w:w="8"/>
        <w:gridCol w:w="1408"/>
        <w:gridCol w:w="25"/>
        <w:gridCol w:w="1230"/>
        <w:gridCol w:w="21"/>
        <w:gridCol w:w="1705"/>
        <w:gridCol w:w="1419"/>
        <w:gridCol w:w="980"/>
        <w:gridCol w:w="13"/>
        <w:gridCol w:w="1701"/>
      </w:tblGrid>
      <w:tr w:rsidR="000B64A1" w:rsidRPr="00447230" w:rsidTr="00FC7E89">
        <w:trPr>
          <w:tblHeader/>
        </w:trPr>
        <w:tc>
          <w:tcPr>
            <w:tcW w:w="768" w:type="dxa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1</w:t>
            </w:r>
          </w:p>
        </w:tc>
        <w:tc>
          <w:tcPr>
            <w:tcW w:w="2488" w:type="dxa"/>
            <w:gridSpan w:val="2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2</w:t>
            </w:r>
          </w:p>
        </w:tc>
        <w:tc>
          <w:tcPr>
            <w:tcW w:w="1666" w:type="dxa"/>
            <w:gridSpan w:val="2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3</w:t>
            </w:r>
          </w:p>
        </w:tc>
        <w:tc>
          <w:tcPr>
            <w:tcW w:w="1169" w:type="dxa"/>
            <w:gridSpan w:val="2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4</w:t>
            </w:r>
          </w:p>
        </w:tc>
        <w:tc>
          <w:tcPr>
            <w:tcW w:w="1416" w:type="dxa"/>
            <w:gridSpan w:val="2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5</w:t>
            </w:r>
          </w:p>
        </w:tc>
        <w:tc>
          <w:tcPr>
            <w:tcW w:w="1276" w:type="dxa"/>
            <w:gridSpan w:val="3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6</w:t>
            </w:r>
          </w:p>
        </w:tc>
        <w:tc>
          <w:tcPr>
            <w:tcW w:w="1705" w:type="dxa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7</w:t>
            </w:r>
          </w:p>
        </w:tc>
        <w:tc>
          <w:tcPr>
            <w:tcW w:w="1419" w:type="dxa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8</w:t>
            </w:r>
          </w:p>
        </w:tc>
        <w:tc>
          <w:tcPr>
            <w:tcW w:w="993" w:type="dxa"/>
            <w:gridSpan w:val="2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9</w:t>
            </w:r>
          </w:p>
        </w:tc>
        <w:tc>
          <w:tcPr>
            <w:tcW w:w="1701" w:type="dxa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10</w:t>
            </w:r>
          </w:p>
        </w:tc>
      </w:tr>
      <w:tr w:rsidR="000B64A1" w:rsidRPr="00447230" w:rsidTr="00FC7E89">
        <w:tc>
          <w:tcPr>
            <w:tcW w:w="768" w:type="dxa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1</w:t>
            </w:r>
          </w:p>
        </w:tc>
        <w:tc>
          <w:tcPr>
            <w:tcW w:w="13833" w:type="dxa"/>
            <w:gridSpan w:val="16"/>
          </w:tcPr>
          <w:p w:rsidR="000B64A1" w:rsidRPr="00447230" w:rsidRDefault="000B64A1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47230">
              <w:rPr>
                <w:rFonts w:ascii="Times New Roman" w:hAnsi="Times New Roman" w:cs="Times New Roman"/>
              </w:rPr>
              <w:t>Муниципальная программа «</w:t>
            </w:r>
            <w:r w:rsidR="00CB7F21" w:rsidRPr="00447230">
              <w:rPr>
                <w:rFonts w:ascii="Times New Roman" w:hAnsi="Times New Roman" w:cs="Times New Roman"/>
              </w:rPr>
              <w:t xml:space="preserve">Развитие культуры  </w:t>
            </w:r>
            <w:proofErr w:type="spellStart"/>
            <w:r w:rsidR="00CB7F21" w:rsidRPr="00447230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="00CB7F21" w:rsidRPr="00447230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  <w:r w:rsidRPr="00447230">
              <w:rPr>
                <w:rFonts w:ascii="Times New Roman" w:hAnsi="Times New Roman" w:cs="Times New Roman"/>
              </w:rPr>
              <w:t>»</w:t>
            </w:r>
          </w:p>
        </w:tc>
      </w:tr>
      <w:tr w:rsidR="00FC7E89" w:rsidRPr="00447230" w:rsidTr="00FC7E89">
        <w:tc>
          <w:tcPr>
            <w:tcW w:w="768" w:type="dxa"/>
          </w:tcPr>
          <w:p w:rsidR="00FC7E89" w:rsidRPr="00447230" w:rsidRDefault="00FC7E89" w:rsidP="00474F6C">
            <w:pPr>
              <w:tabs>
                <w:tab w:val="center" w:pos="4677"/>
                <w:tab w:val="right" w:pos="9355"/>
              </w:tabs>
              <w:jc w:val="center"/>
            </w:pPr>
            <w:r>
              <w:t>1.1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количество проведенных мероприятий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7E89" w:rsidRPr="00447230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472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 w:rsidR="00DC0F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300</w:t>
            </w:r>
          </w:p>
        </w:tc>
      </w:tr>
      <w:tr w:rsidR="00FC7E89" w:rsidRPr="00447230" w:rsidTr="00FC7E89">
        <w:tc>
          <w:tcPr>
            <w:tcW w:w="768" w:type="dxa"/>
          </w:tcPr>
          <w:p w:rsidR="00FC7E89" w:rsidRPr="00447230" w:rsidRDefault="00FC7E89" w:rsidP="00474F6C">
            <w:pPr>
              <w:tabs>
                <w:tab w:val="center" w:pos="4677"/>
                <w:tab w:val="right" w:pos="9355"/>
              </w:tabs>
              <w:jc w:val="center"/>
            </w:pPr>
            <w:r>
              <w:t>1.2</w:t>
            </w:r>
          </w:p>
        </w:tc>
        <w:tc>
          <w:tcPr>
            <w:tcW w:w="2471" w:type="dxa"/>
            <w:tcBorders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качество выполненных работ</w:t>
            </w:r>
          </w:p>
        </w:tc>
        <w:tc>
          <w:tcPr>
            <w:tcW w:w="168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7E89" w:rsidRPr="00447230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t>%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 w:rsidR="00DC0F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0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7E89" w:rsidRPr="00FC7E89" w:rsidRDefault="00FC7E89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100</w:t>
            </w:r>
          </w:p>
        </w:tc>
      </w:tr>
      <w:tr w:rsidR="00447230" w:rsidRPr="00447230" w:rsidTr="00FC7E89">
        <w:tc>
          <w:tcPr>
            <w:tcW w:w="768" w:type="dxa"/>
          </w:tcPr>
          <w:p w:rsidR="00447230" w:rsidRPr="00447230" w:rsidRDefault="00447230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2.1</w:t>
            </w:r>
          </w:p>
        </w:tc>
        <w:tc>
          <w:tcPr>
            <w:tcW w:w="13833" w:type="dxa"/>
            <w:gridSpan w:val="16"/>
          </w:tcPr>
          <w:p w:rsidR="00447230" w:rsidRPr="00447230" w:rsidRDefault="00447230" w:rsidP="00CB7F2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47230">
              <w:rPr>
                <w:rFonts w:ascii="Times New Roman" w:hAnsi="Times New Roman" w:cs="Times New Roman"/>
              </w:rPr>
              <w:t>Подпрограмма</w:t>
            </w:r>
            <w:r w:rsidR="00940ED6">
              <w:rPr>
                <w:rFonts w:ascii="Times New Roman" w:hAnsi="Times New Roman" w:cs="Times New Roman"/>
              </w:rPr>
              <w:t xml:space="preserve"> №</w:t>
            </w:r>
            <w:r w:rsidRPr="00447230">
              <w:rPr>
                <w:rFonts w:ascii="Times New Roman" w:hAnsi="Times New Roman" w:cs="Times New Roman"/>
              </w:rPr>
              <w:t xml:space="preserve"> 1 «</w:t>
            </w:r>
            <w:r w:rsidRPr="00447230">
              <w:rPr>
                <w:rFonts w:ascii="Times New Roman" w:hAnsi="Times New Roman"/>
              </w:rPr>
              <w:t>Обеспечение деятельности МБУК «</w:t>
            </w:r>
            <w:proofErr w:type="spellStart"/>
            <w:r w:rsidRPr="00447230">
              <w:rPr>
                <w:rFonts w:ascii="Times New Roman" w:hAnsi="Times New Roman"/>
              </w:rPr>
              <w:t>Ахтанизовский</w:t>
            </w:r>
            <w:proofErr w:type="spellEnd"/>
            <w:r w:rsidRPr="00447230">
              <w:rPr>
                <w:rFonts w:ascii="Times New Roman" w:hAnsi="Times New Roman"/>
              </w:rPr>
              <w:t xml:space="preserve"> КСЦ»</w:t>
            </w:r>
          </w:p>
        </w:tc>
      </w:tr>
      <w:tr w:rsidR="000B64A1" w:rsidRPr="00447230" w:rsidTr="00FC7E89">
        <w:trPr>
          <w:trHeight w:val="890"/>
        </w:trPr>
        <w:tc>
          <w:tcPr>
            <w:tcW w:w="768" w:type="dxa"/>
          </w:tcPr>
          <w:p w:rsidR="000B64A1" w:rsidRPr="00447230" w:rsidRDefault="00940ED6" w:rsidP="00474F6C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  <w:r w:rsidR="000B64A1" w:rsidRPr="00447230">
              <w:t>.1</w:t>
            </w:r>
            <w:r>
              <w:t>.1</w:t>
            </w:r>
          </w:p>
        </w:tc>
        <w:tc>
          <w:tcPr>
            <w:tcW w:w="2488" w:type="dxa"/>
            <w:gridSpan w:val="2"/>
          </w:tcPr>
          <w:p w:rsidR="000B64A1" w:rsidRPr="00447230" w:rsidRDefault="00940ED6" w:rsidP="00E160C6">
            <w:pPr>
              <w:jc w:val="both"/>
            </w:pPr>
            <w:r>
              <w:t>к</w:t>
            </w:r>
            <w:r w:rsidR="00447230" w:rsidRPr="00447230">
              <w:t>оличество проведенных мероприятий</w:t>
            </w:r>
          </w:p>
        </w:tc>
        <w:tc>
          <w:tcPr>
            <w:tcW w:w="1666" w:type="dxa"/>
            <w:gridSpan w:val="2"/>
          </w:tcPr>
          <w:p w:rsidR="000B64A1" w:rsidRPr="00447230" w:rsidRDefault="00447230" w:rsidP="00474F6C">
            <w:pPr>
              <w:pStyle w:val="ab"/>
              <w:rPr>
                <w:rFonts w:ascii="Times New Roman" w:hAnsi="Times New Roman" w:cs="Times New Roman"/>
              </w:rPr>
            </w:pPr>
            <w:r w:rsidRPr="0044723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169" w:type="dxa"/>
            <w:gridSpan w:val="2"/>
          </w:tcPr>
          <w:p w:rsidR="000B64A1" w:rsidRPr="00447230" w:rsidRDefault="000B64A1" w:rsidP="00474F6C">
            <w:pPr>
              <w:tabs>
                <w:tab w:val="center" w:pos="4677"/>
                <w:tab w:val="right" w:pos="9355"/>
              </w:tabs>
              <w:jc w:val="center"/>
            </w:pPr>
            <w:r w:rsidRPr="00447230">
              <w:t>3</w:t>
            </w:r>
          </w:p>
        </w:tc>
        <w:tc>
          <w:tcPr>
            <w:tcW w:w="1416" w:type="dxa"/>
            <w:gridSpan w:val="2"/>
          </w:tcPr>
          <w:p w:rsidR="000B64A1" w:rsidRPr="00447230" w:rsidRDefault="000B64A1" w:rsidP="00474F6C">
            <w:r w:rsidRPr="00447230">
              <w:t>202</w:t>
            </w:r>
            <w:r w:rsidR="00DC0FA4">
              <w:t>6</w:t>
            </w:r>
          </w:p>
        </w:tc>
        <w:tc>
          <w:tcPr>
            <w:tcW w:w="1276" w:type="dxa"/>
            <w:gridSpan w:val="3"/>
          </w:tcPr>
          <w:p w:rsidR="000B64A1" w:rsidRPr="00447230" w:rsidRDefault="00447230" w:rsidP="00474F6C">
            <w:r w:rsidRPr="00447230">
              <w:t>300</w:t>
            </w:r>
          </w:p>
        </w:tc>
        <w:tc>
          <w:tcPr>
            <w:tcW w:w="1705" w:type="dxa"/>
          </w:tcPr>
          <w:p w:rsidR="000B64A1" w:rsidRPr="00447230" w:rsidRDefault="00447230" w:rsidP="00474F6C">
            <w:r w:rsidRPr="00447230">
              <w:t>300</w:t>
            </w:r>
          </w:p>
        </w:tc>
        <w:tc>
          <w:tcPr>
            <w:tcW w:w="1419" w:type="dxa"/>
          </w:tcPr>
          <w:p w:rsidR="000B64A1" w:rsidRPr="00447230" w:rsidRDefault="00447230" w:rsidP="00474F6C">
            <w:r w:rsidRPr="00447230">
              <w:t>300</w:t>
            </w:r>
          </w:p>
        </w:tc>
        <w:tc>
          <w:tcPr>
            <w:tcW w:w="980" w:type="dxa"/>
          </w:tcPr>
          <w:p w:rsidR="000B64A1" w:rsidRPr="00447230" w:rsidRDefault="00447230" w:rsidP="00474F6C">
            <w:r w:rsidRPr="00447230">
              <w:t>300</w:t>
            </w:r>
          </w:p>
        </w:tc>
        <w:tc>
          <w:tcPr>
            <w:tcW w:w="1714" w:type="dxa"/>
            <w:gridSpan w:val="2"/>
          </w:tcPr>
          <w:p w:rsidR="000B64A1" w:rsidRPr="00447230" w:rsidRDefault="00447230" w:rsidP="00474F6C">
            <w:pPr>
              <w:tabs>
                <w:tab w:val="center" w:pos="4677"/>
                <w:tab w:val="right" w:pos="9355"/>
              </w:tabs>
            </w:pPr>
            <w:r w:rsidRPr="00447230">
              <w:t>300</w:t>
            </w:r>
          </w:p>
        </w:tc>
      </w:tr>
      <w:tr w:rsidR="00447230" w:rsidRPr="00447230" w:rsidTr="00FC7E89">
        <w:trPr>
          <w:trHeight w:val="279"/>
        </w:trPr>
        <w:tc>
          <w:tcPr>
            <w:tcW w:w="768" w:type="dxa"/>
          </w:tcPr>
          <w:p w:rsidR="00447230" w:rsidRPr="00447230" w:rsidRDefault="00940ED6" w:rsidP="00474F6C">
            <w:pPr>
              <w:tabs>
                <w:tab w:val="center" w:pos="4677"/>
                <w:tab w:val="right" w:pos="9355"/>
              </w:tabs>
              <w:jc w:val="center"/>
            </w:pPr>
            <w:r>
              <w:t>3</w:t>
            </w:r>
            <w:r w:rsidR="00447230">
              <w:t>.1</w:t>
            </w:r>
          </w:p>
        </w:tc>
        <w:tc>
          <w:tcPr>
            <w:tcW w:w="13833" w:type="dxa"/>
            <w:gridSpan w:val="16"/>
          </w:tcPr>
          <w:p w:rsidR="00447230" w:rsidRPr="00447230" w:rsidRDefault="00940ED6" w:rsidP="00474F6C">
            <w:pPr>
              <w:tabs>
                <w:tab w:val="center" w:pos="4677"/>
                <w:tab w:val="right" w:pos="9355"/>
              </w:tabs>
            </w:pPr>
            <w:r>
              <w:t xml:space="preserve">Подпрограмма №2 </w:t>
            </w:r>
            <w:r w:rsidRPr="00940ED6">
              <w:t>«Ремонт здания Дома культуры»</w:t>
            </w:r>
          </w:p>
        </w:tc>
      </w:tr>
      <w:tr w:rsidR="00FC7E89" w:rsidRPr="00447230" w:rsidTr="00FC7E89">
        <w:trPr>
          <w:trHeight w:val="279"/>
        </w:trPr>
        <w:tc>
          <w:tcPr>
            <w:tcW w:w="768" w:type="dxa"/>
          </w:tcPr>
          <w:p w:rsidR="00FC7E89" w:rsidRDefault="00FC7E89" w:rsidP="00474F6C">
            <w:pPr>
              <w:tabs>
                <w:tab w:val="center" w:pos="4677"/>
                <w:tab w:val="right" w:pos="9355"/>
              </w:tabs>
              <w:jc w:val="center"/>
            </w:pPr>
            <w:r>
              <w:t>3.1.1</w:t>
            </w:r>
          </w:p>
        </w:tc>
        <w:tc>
          <w:tcPr>
            <w:tcW w:w="2488" w:type="dxa"/>
            <w:gridSpan w:val="2"/>
            <w:tcBorders>
              <w:right w:val="single" w:sz="4" w:space="0" w:color="auto"/>
            </w:tcBorders>
          </w:tcPr>
          <w:p w:rsidR="00FC7E89" w:rsidRDefault="00FC7E89" w:rsidP="00474F6C">
            <w:pPr>
              <w:tabs>
                <w:tab w:val="center" w:pos="4677"/>
                <w:tab w:val="right" w:pos="9355"/>
              </w:tabs>
            </w:pPr>
            <w:r w:rsidRPr="00240968">
              <w:t xml:space="preserve">качество </w:t>
            </w:r>
            <w:r w:rsidRPr="00240968">
              <w:lastRenderedPageBreak/>
              <w:t>выполненных работ</w:t>
            </w:r>
          </w:p>
        </w:tc>
        <w:tc>
          <w:tcPr>
            <w:tcW w:w="1650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Default="00FC7E89" w:rsidP="00474F6C">
            <w:pPr>
              <w:tabs>
                <w:tab w:val="center" w:pos="4677"/>
                <w:tab w:val="right" w:pos="9355"/>
              </w:tabs>
            </w:pPr>
            <w:r>
              <w:lastRenderedPageBreak/>
              <w:t>%</w:t>
            </w:r>
          </w:p>
          <w:p w:rsidR="00FC7E89" w:rsidRDefault="00FC7E89" w:rsidP="00474F6C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9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C7E89" w:rsidRDefault="00FC7E89">
            <w:r>
              <w:lastRenderedPageBreak/>
              <w:t>3</w:t>
            </w:r>
          </w:p>
          <w:p w:rsidR="00FC7E89" w:rsidRDefault="00FC7E89" w:rsidP="00FC7E8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408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Default="00FC7E89" w:rsidP="00474F6C">
            <w:pPr>
              <w:tabs>
                <w:tab w:val="center" w:pos="4677"/>
                <w:tab w:val="right" w:pos="9355"/>
              </w:tabs>
            </w:pPr>
            <w:r w:rsidRPr="00447230">
              <w:lastRenderedPageBreak/>
              <w:t>202</w:t>
            </w:r>
            <w:r w:rsidR="00DC0FA4">
              <w:t>6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7E89" w:rsidRDefault="00FC7E89" w:rsidP="00474F6C">
            <w:pPr>
              <w:tabs>
                <w:tab w:val="center" w:pos="4677"/>
                <w:tab w:val="right" w:pos="9355"/>
              </w:tabs>
            </w:pPr>
            <w:r>
              <w:t>100</w:t>
            </w:r>
          </w:p>
        </w:tc>
        <w:tc>
          <w:tcPr>
            <w:tcW w:w="1705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Default="00FC7E89" w:rsidP="00474F6C">
            <w:pPr>
              <w:tabs>
                <w:tab w:val="center" w:pos="4677"/>
                <w:tab w:val="right" w:pos="9355"/>
              </w:tabs>
            </w:pPr>
            <w:r>
              <w:t>100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FC7E89" w:rsidRDefault="00FC7E89" w:rsidP="00474F6C">
            <w:pPr>
              <w:tabs>
                <w:tab w:val="center" w:pos="4677"/>
                <w:tab w:val="right" w:pos="9355"/>
              </w:tabs>
            </w:pPr>
            <w:r>
              <w:t>100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C7E89" w:rsidRDefault="00FC7E89" w:rsidP="00474F6C">
            <w:pPr>
              <w:tabs>
                <w:tab w:val="center" w:pos="4677"/>
                <w:tab w:val="right" w:pos="9355"/>
              </w:tabs>
            </w:pPr>
            <w:r>
              <w:t>100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FC7E89" w:rsidRDefault="00FC7E89" w:rsidP="00474F6C">
            <w:pPr>
              <w:tabs>
                <w:tab w:val="center" w:pos="4677"/>
                <w:tab w:val="right" w:pos="9355"/>
              </w:tabs>
            </w:pPr>
            <w:r>
              <w:t>100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940ED6" w:rsidRDefault="00940ED6" w:rsidP="000B64A1">
      <w:pPr>
        <w:tabs>
          <w:tab w:val="left" w:pos="9000"/>
        </w:tabs>
        <w:rPr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p w:rsidR="000B64A1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CB7F21" w:rsidRDefault="000B64A1" w:rsidP="00CB7F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214">
        <w:rPr>
          <w:b/>
        </w:rPr>
        <w:t>«</w:t>
      </w:r>
      <w:r w:rsidR="00CB7F21">
        <w:rPr>
          <w:rFonts w:ascii="Times New Roman" w:hAnsi="Times New Roman" w:cs="Times New Roman"/>
          <w:b/>
          <w:sz w:val="28"/>
          <w:szCs w:val="28"/>
        </w:rPr>
        <w:t xml:space="preserve">Развитие культуры  </w:t>
      </w:r>
      <w:proofErr w:type="spellStart"/>
      <w:r w:rsidR="00CB7F21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proofErr w:type="spellEnd"/>
      <w:r w:rsidR="00CB7F21" w:rsidRPr="000B271E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 w:rsidR="00CB7F21">
        <w:rPr>
          <w:rFonts w:ascii="Times New Roman" w:hAnsi="Times New Roman" w:cs="Times New Roman"/>
          <w:b/>
          <w:sz w:val="28"/>
          <w:szCs w:val="28"/>
        </w:rPr>
        <w:t xml:space="preserve">го поселения </w:t>
      </w:r>
    </w:p>
    <w:p w:rsidR="000B64A1" w:rsidRDefault="00CB7F21" w:rsidP="00CB7F21">
      <w:pPr>
        <w:jc w:val="center"/>
        <w:rPr>
          <w:b/>
        </w:rPr>
      </w:pPr>
      <w:r>
        <w:rPr>
          <w:b/>
          <w:sz w:val="28"/>
          <w:szCs w:val="28"/>
        </w:rPr>
        <w:t>Темрюкского района</w:t>
      </w:r>
      <w:r w:rsidR="000B64A1" w:rsidRPr="00AC0214">
        <w:rPr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FC7E89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№</w:t>
            </w:r>
            <w:r w:rsidRPr="00FC7E89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C7E89">
              <w:rPr>
                <w:rFonts w:ascii="Times New Roman" w:hAnsi="Times New Roman" w:cs="Times New Roman"/>
              </w:rPr>
              <w:t>/</w:t>
            </w:r>
            <w:proofErr w:type="spellStart"/>
            <w:r w:rsidRPr="00FC7E8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FC7E89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FC7E89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0B64A1" w:rsidRPr="00FC7E89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11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 w:rsidR="003B6D8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CB7F21" w:rsidP="00BB51F8">
            <w:pPr>
              <w:jc w:val="both"/>
            </w:pPr>
            <w:r w:rsidRPr="00FC7E89">
              <w:t>- повышение качества и доступности муниципальных услуг сферы культуры для всех категорий потребителей, комплектование и обеспечение сохранности библиотечных фондов;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 w:rsidR="003B6D85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CB7F21" w:rsidP="00BB51F8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- создание условий для свободного и оперативного доступа к информационным ресурсам и знаниям учреждения, увеличение библиотечного фонда;</w:t>
            </w:r>
          </w:p>
        </w:tc>
      </w:tr>
      <w:tr w:rsidR="000B64A1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BB51F8" w:rsidP="000B64A1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Обеспечение </w:t>
            </w:r>
            <w:r w:rsidRPr="00871F2E">
              <w:rPr>
                <w:rFonts w:ascii="Times New Roman" w:hAnsi="Times New Roman"/>
              </w:rPr>
              <w:t>деятельности МБУ</w:t>
            </w:r>
            <w:r>
              <w:rPr>
                <w:rFonts w:ascii="Times New Roman" w:hAnsi="Times New Roman"/>
              </w:rPr>
              <w:t>К «</w:t>
            </w:r>
            <w:proofErr w:type="spellStart"/>
            <w:r>
              <w:rPr>
                <w:rFonts w:ascii="Times New Roman" w:hAnsi="Times New Roman"/>
              </w:rPr>
              <w:t>Ахтанизовский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871F2E">
              <w:rPr>
                <w:rFonts w:ascii="Times New Roman" w:hAnsi="Times New Roman"/>
              </w:rPr>
              <w:t xml:space="preserve"> КСЦ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25697B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 w:rsidR="00DC0F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BB51F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C0FA4">
              <w:rPr>
                <w:rFonts w:ascii="Times New Roman" w:hAnsi="Times New Roman" w:cs="Times New Roman"/>
              </w:rPr>
              <w:t>419,6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DC0FA4" w:rsidP="000B64A1">
            <w:r>
              <w:t>7419,6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Default="00BB51F8" w:rsidP="00BB51F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человек, получающих заработную плату (с начислениями): 14 чел.,</w:t>
            </w:r>
          </w:p>
          <w:p w:rsidR="00BB51F8" w:rsidRDefault="00BB51F8" w:rsidP="00BB51F8">
            <w:pPr>
              <w:pStyle w:val="ab"/>
              <w:rPr>
                <w:rFonts w:ascii="Times New Roman" w:hAnsi="Times New Roman"/>
              </w:rPr>
            </w:pPr>
            <w:r w:rsidRPr="0017143D">
              <w:rPr>
                <w:rFonts w:ascii="Times New Roman" w:hAnsi="Times New Roman"/>
              </w:rPr>
              <w:t>Оплата</w:t>
            </w:r>
            <w:r>
              <w:rPr>
                <w:rFonts w:ascii="Times New Roman" w:hAnsi="Times New Roman"/>
              </w:rPr>
              <w:t xml:space="preserve"> услуг связи,</w:t>
            </w:r>
          </w:p>
          <w:p w:rsidR="00BB51F8" w:rsidRPr="0017143D" w:rsidRDefault="00BB51F8" w:rsidP="00BB51F8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7143D">
              <w:rPr>
                <w:rFonts w:ascii="Times New Roman" w:hAnsi="Times New Roman"/>
              </w:rPr>
              <w:t xml:space="preserve">Оплата услуг связи </w:t>
            </w:r>
            <w:r>
              <w:rPr>
                <w:rFonts w:ascii="Times New Roman" w:hAnsi="Times New Roman"/>
              </w:rPr>
              <w:t>«Интернет»,</w:t>
            </w:r>
          </w:p>
          <w:p w:rsidR="00BB51F8" w:rsidRDefault="00BB51F8" w:rsidP="00BB51F8">
            <w:r>
              <w:t>Транспортные услуги,</w:t>
            </w:r>
          </w:p>
          <w:p w:rsidR="00BB51F8" w:rsidRPr="0017143D" w:rsidRDefault="00BB51F8" w:rsidP="00BB51F8">
            <w:r w:rsidRPr="0017143D">
              <w:t>Коммунальные услуги</w:t>
            </w:r>
            <w:r>
              <w:t xml:space="preserve"> (по утвержденному </w:t>
            </w:r>
            <w:r>
              <w:lastRenderedPageBreak/>
              <w:t>нормативу),</w:t>
            </w:r>
          </w:p>
          <w:p w:rsidR="00BB51F8" w:rsidRDefault="00BB51F8" w:rsidP="00BB51F8">
            <w:r>
              <w:t>Содержание имущества,</w:t>
            </w:r>
          </w:p>
          <w:p w:rsidR="00BB51F8" w:rsidRPr="005857F8" w:rsidRDefault="00BB51F8" w:rsidP="00BB51F8">
            <w:r>
              <w:t>Прочие услуги,</w:t>
            </w:r>
          </w:p>
          <w:p w:rsidR="00BB51F8" w:rsidRDefault="00BB51F8" w:rsidP="00BB51F8">
            <w:r>
              <w:t>Прочие расходы,</w:t>
            </w:r>
          </w:p>
          <w:p w:rsidR="00BB51F8" w:rsidRDefault="00BB51F8" w:rsidP="00BB51F8">
            <w:r>
              <w:t>Увеличение стоимости основных средств,</w:t>
            </w:r>
          </w:p>
          <w:p w:rsidR="000B64A1" w:rsidRPr="00FC7E89" w:rsidRDefault="00BB51F8" w:rsidP="00BB51F8">
            <w:r>
              <w:t>Увеличение стоимости материальных запасов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FC7E89" w:rsidRDefault="000B64A1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lastRenderedPageBreak/>
              <w:t xml:space="preserve">Администрация </w:t>
            </w:r>
            <w:proofErr w:type="spellStart"/>
            <w:r w:rsidRPr="00FC7E89">
              <w:rPr>
                <w:rFonts w:ascii="Times New Roman" w:hAnsi="Times New Roman" w:cs="Times New Roman"/>
              </w:rPr>
              <w:t>Ахтанизовского</w:t>
            </w:r>
            <w:proofErr w:type="spellEnd"/>
            <w:r w:rsidRPr="00FC7E89">
              <w:rPr>
                <w:rFonts w:ascii="Times New Roman" w:hAnsi="Times New Roman" w:cs="Times New Roman"/>
              </w:rPr>
              <w:t xml:space="preserve"> сельского поселения Темрюкского района</w:t>
            </w:r>
          </w:p>
        </w:tc>
      </w:tr>
      <w:tr w:rsidR="00BB51F8" w:rsidRPr="00FC7E89" w:rsidTr="00BB51F8">
        <w:trPr>
          <w:trHeight w:val="627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0B64A1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Цель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1F8" w:rsidRPr="00BB51F8" w:rsidRDefault="00BB51F8" w:rsidP="00BB51F8">
            <w:r w:rsidRPr="00FC7E89">
              <w:t xml:space="preserve">- </w:t>
            </w:r>
            <w:r w:rsidRPr="00FC7E89">
              <w:rPr>
                <w:spacing w:val="11"/>
              </w:rPr>
              <w:t xml:space="preserve">безаварийное состояние </w:t>
            </w:r>
            <w:r w:rsidRPr="00FC7E89">
              <w:t xml:space="preserve">здания, приведение технического состояния </w:t>
            </w:r>
            <w:r w:rsidRPr="00FC7E89">
              <w:rPr>
                <w:spacing w:val="11"/>
              </w:rPr>
              <w:t xml:space="preserve">объекта в соответствие с нормативными требованиями безопасности, </w:t>
            </w:r>
            <w:r w:rsidRPr="00FC7E89">
              <w:rPr>
                <w:spacing w:val="-3"/>
              </w:rPr>
              <w:t>санитарных норм</w:t>
            </w:r>
          </w:p>
        </w:tc>
      </w:tr>
      <w:tr w:rsidR="00BB51F8" w:rsidRPr="00FC7E89" w:rsidTr="00564822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BB51F8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Задача </w:t>
            </w: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1F8" w:rsidRPr="00FC7E89" w:rsidRDefault="00BB51F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 xml:space="preserve">- </w:t>
            </w:r>
            <w:r w:rsidRPr="00FC7E89">
              <w:rPr>
                <w:rFonts w:ascii="Times New Roman" w:hAnsi="Times New Roman" w:cs="Times New Roman"/>
                <w:color w:val="000000"/>
                <w:spacing w:val="1"/>
              </w:rPr>
              <w:t xml:space="preserve">проведение текущего </w:t>
            </w:r>
            <w:proofErr w:type="gramStart"/>
            <w:r w:rsidRPr="00FC7E89">
              <w:rPr>
                <w:rFonts w:ascii="Times New Roman" w:hAnsi="Times New Roman" w:cs="Times New Roman"/>
                <w:color w:val="000000"/>
                <w:spacing w:val="1"/>
              </w:rPr>
              <w:t xml:space="preserve">ремонта фасада здания </w:t>
            </w:r>
            <w:r w:rsidRPr="00FC7E89">
              <w:rPr>
                <w:rFonts w:ascii="Times New Roman" w:hAnsi="Times New Roman" w:cs="Times New Roman"/>
              </w:rPr>
              <w:t>Дома культуры</w:t>
            </w:r>
            <w:proofErr w:type="gramEnd"/>
            <w:r w:rsidRPr="00FC7E89">
              <w:rPr>
                <w:rFonts w:ascii="Times New Roman" w:hAnsi="Times New Roman" w:cs="Times New Roman"/>
              </w:rPr>
              <w:t xml:space="preserve"> в ст. </w:t>
            </w:r>
            <w:proofErr w:type="spellStart"/>
            <w:r w:rsidRPr="00FC7E89">
              <w:rPr>
                <w:rFonts w:ascii="Times New Roman" w:hAnsi="Times New Roman" w:cs="Times New Roman"/>
              </w:rPr>
              <w:t>Ахтанизовской</w:t>
            </w:r>
            <w:proofErr w:type="spellEnd"/>
          </w:p>
        </w:tc>
      </w:tr>
      <w:tr w:rsidR="00BB51F8" w:rsidRPr="00FC7E89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Default="00BB51F8" w:rsidP="000B64A1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BB51F8">
            <w:pPr>
              <w:pStyle w:val="ac"/>
              <w:rPr>
                <w:rFonts w:ascii="Times New Roman" w:hAnsi="Times New Roman" w:cs="Times New Roman"/>
              </w:rPr>
            </w:pPr>
            <w:r w:rsidRPr="00482E3C">
              <w:rPr>
                <w:rFonts w:ascii="Times New Roman" w:hAnsi="Times New Roman"/>
              </w:rPr>
              <w:t>Ремонт здания Дома культуры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25697B">
            <w:pPr>
              <w:pStyle w:val="ac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202</w:t>
            </w:r>
            <w:r w:rsidR="00DC0F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0B64A1">
            <w: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0B64A1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FC7E89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F8" w:rsidRPr="00FC7E89" w:rsidRDefault="00BB51F8" w:rsidP="000B64A1">
            <w:r>
              <w:rPr>
                <w:color w:val="000000"/>
                <w:spacing w:val="-1"/>
              </w:rPr>
              <w:t>Шпаклевка, покраска стен фасада здания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51F8" w:rsidRPr="00FC7E89" w:rsidRDefault="00BB51F8" w:rsidP="000B64A1">
            <w:r w:rsidRPr="00FC7E89">
              <w:t xml:space="preserve">Администрация </w:t>
            </w:r>
            <w:proofErr w:type="spellStart"/>
            <w:r w:rsidRPr="00FC7E89">
              <w:t>Ахтанизовского</w:t>
            </w:r>
            <w:proofErr w:type="spellEnd"/>
            <w:r w:rsidRPr="00FC7E89">
              <w:t xml:space="preserve"> сельского поселения Темрюкского района</w:t>
            </w:r>
          </w:p>
        </w:tc>
      </w:tr>
    </w:tbl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0B64A1" w:rsidRPr="005E6DE3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реализации муниципальной</w:t>
      </w:r>
    </w:p>
    <w:p w:rsidR="000B64A1" w:rsidRPr="005E6DE3" w:rsidRDefault="000B64A1" w:rsidP="000B64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pStyle w:val="ConsPlusNormal"/>
        <w:jc w:val="center"/>
        <w:rPr>
          <w:rFonts w:ascii="Times New Roman" w:hAnsi="Times New Roman" w:cs="Times New Roman"/>
        </w:rPr>
      </w:pP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  <w:lang w:eastAsia="ar-SA"/>
        </w:rPr>
      </w:pPr>
      <w:r w:rsidRPr="00ED2A8B">
        <w:rPr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</w:rPr>
        <w:t xml:space="preserve"> сельского поселения Темрюкского района от </w:t>
      </w:r>
      <w:r w:rsidRPr="00ED2A8B">
        <w:rPr>
          <w:color w:val="000000"/>
          <w:sz w:val="28"/>
          <w:szCs w:val="28"/>
          <w:shd w:val="clear" w:color="auto" w:fill="FFFFFF"/>
        </w:rPr>
        <w:t xml:space="preserve">30 августа 2024 года № 148 </w:t>
      </w:r>
      <w:r w:rsidRPr="00ED2A8B">
        <w:rPr>
          <w:sz w:val="28"/>
          <w:szCs w:val="28"/>
        </w:rPr>
        <w:t xml:space="preserve">«Об утверждении порядка </w:t>
      </w:r>
      <w:r w:rsidRPr="00ED2A8B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  <w:lang w:eastAsia="ar-SA"/>
        </w:rPr>
        <w:t xml:space="preserve"> сельского поселения Темрюкского района».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1.1. Оценка эффективности реализации муниципальной программы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(далее - муниципальная программа)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1.2. Оценка эффективности реализации муниципальной программы рассчитывается на основании: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реализации мероприятий подпрограмм и основных мероприятий, включенных в муниципальную программу (далее - степень реализации мероприятий);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эффективности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подпрограмм, включенных в муниципальную программу (далее - оценка степени реализации подпрограммы);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1.3. Мероприятия подпрограмм и основные мероприятия муниципальной программы, предусматривающие исключительно расходы на содержание координатора муниципальной программы (подпрограммы), и (или) участника муниципальной программы, из расчета оценки эффективности реализации муниципальной программы исключаются.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2. Оценка степени реализации мероприятий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2.1. Для оценки степени реализации мероприятий определяется степень выполнения показателя непосредственного результата мероприятия (далее - непосредственный результат).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2.2. Степень выполнения непосредственного результата рассчитывается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непосредственного результата,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непосредственного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если фактическое значение непосредственного результата превышает его плановое значение,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случае если основное мероприятие, мероприятие подпрограммы имеет несколько показателей непосредственного результата, расчет проводится по каждому из них.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Оценка степени выполнения непосредственного результата по мероприятию, предусматривающему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определяется на основании отчетов об исполнении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2.4. В случае отсутствия количественной характеристики непосредственного результата степень выполнения мероприятия оценивается по наступлению или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ненаступлению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контрольного события (событий) и (или) достижению качественного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2.5. Оценка степени выполнения непосредственного результата не определяется по мероприятиям, направленным на ликвидацию чрезвычайных ситуаций природного и техногенного характера, а также на предоставление страховых гарантий отдельным категориям граждан, в порядке, установленном нормативно - правовыми актами администрации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2.6. Степень реализации мероприятий рассчитывается для каждой подпрограммы и перечня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6C2002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2002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alt="base_23729_196884_32768" style="width:162pt;height:36.75pt;visibility:visible">
            <v:imagedata r:id="rId9" o:title="base_23729_196884_32768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N - количество непосредственных результатов, запланированных к выполнению в отчетном периоде.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3. Оценка степени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соответствия запланированному уровню расходов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3.1.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((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) /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>аевого бюджета, в том числе источником финансирования которых являются межбюджетные трансферты из федерального бюджета,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в отчетном периоде. Используются данные об объемах бюджетных ассигнований в соответствии со сводной бюджетной росписью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по состоянию на 31 декабря отчетного года;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периоде. Используются данные об объемах бюджетных ассигнований, предусматриваемые в бюджете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внебюджетных источников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внебюджетных источников в отчетном периоде.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Используются данные по объемам расходов, предусмотренных за счет внебюджетных источников на реализацию подпрограммы (перечня основных мероприятий) в соответствии с действующей на момент проведения оценки эффективности реализации муниципальной программы редакцией муниципальной программы.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Если фактические расходы на реализацию подпрограммы (перечня основных мероприятий) из средств внебюджетных источников в отчетном периоде превышают плановые расходы, то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федерального, краевого и местных бюджетных источников (далее - бюджетные источники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= 0,6);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внебюджетных источников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0,4).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Если расходы на реализацию подпрограммы (перечня основных мероприятий) предусмотрены только за счет средств бюджетных источников,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1,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не применяется.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наличия по состоянию на 1 января текущего финансового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года неисполненных денежных обязательств получателей средств бюджета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возникших в отчетном финансовом году,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финансирования в отчетном финансовом году денежных обязательств получателей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не исполненных по состоянию на 1 января отчетного финансового года,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91"/>
      <w:bookmarkEnd w:id="0"/>
      <w:r w:rsidRPr="00ED2A8B">
        <w:rPr>
          <w:rFonts w:ascii="Times New Roman" w:hAnsi="Times New Roman" w:cs="Times New Roman"/>
          <w:b w:val="0"/>
          <w:sz w:val="28"/>
          <w:szCs w:val="28"/>
        </w:rPr>
        <w:t>4. Оценка эффективности использования финансовых ресурсов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рассчитывается для каждой подпрограммы и перечня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0,7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0,3,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5. Оценка степени реализации 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5.1. Для оценки степени реализации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подпрограммы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5.3. Степень реализации подпрограммы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6C2002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C2002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 id="Рисунок 3" o:spid="_x0000_i1027" type="#_x0000_t75" alt="base_23729_196884_32769" style="width:170.25pt;height:40.5pt;visibility:visible">
            <v:imagedata r:id="rId10" o:title="base_23729_196884_32769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К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количество целевых показателей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6. Оценка эффективности реализации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6.2. Эффективность реализации подпрограммы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709" w:rsidRPr="00ED2A8B" w:rsidRDefault="00D72709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7. Оценка степени достижения целей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и решения задач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7.1.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7.3. Степень достижения целей и решения задач муниципальной 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</w:t>
      </w:r>
      <w:r w:rsidR="006C2002" w:rsidRPr="00ED2A8B">
        <w:rPr>
          <w:rFonts w:ascii="Times New Roman" w:hAnsi="Times New Roman" w:cs="Times New Roman"/>
          <w:sz w:val="28"/>
          <w:szCs w:val="28"/>
        </w:rPr>
        <w:fldChar w:fldCharType="begin"/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826DA1" w:rsidRPr="006C2002">
        <w:rPr>
          <w:rFonts w:ascii="Times New Roman" w:hAnsi="Times New Roman" w:cs="Times New Roman"/>
          <w:position w:val="-8"/>
          <w:sz w:val="28"/>
          <w:szCs w:val="28"/>
        </w:rPr>
        <w:pict>
          <v:shape id="_x0000_i1028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6C2002" w:rsidRPr="00ED2A8B">
        <w:rPr>
          <w:rFonts w:ascii="Times New Roman" w:hAnsi="Times New Roman" w:cs="Times New Roman"/>
          <w:sz w:val="28"/>
          <w:szCs w:val="28"/>
        </w:rPr>
        <w:fldChar w:fldCharType="separate"/>
      </w:r>
      <w:r w:rsidR="00826DA1" w:rsidRPr="006C2002">
        <w:rPr>
          <w:rFonts w:ascii="Times New Roman" w:hAnsi="Times New Roman" w:cs="Times New Roman"/>
          <w:position w:val="-8"/>
          <w:sz w:val="28"/>
          <w:szCs w:val="28"/>
        </w:rPr>
        <w:pict>
          <v:shape id="_x0000_i1029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6C2002" w:rsidRPr="00ED2A8B">
        <w:rPr>
          <w:rFonts w:ascii="Times New Roman" w:hAnsi="Times New Roman" w:cs="Times New Roman"/>
          <w:sz w:val="28"/>
          <w:szCs w:val="28"/>
        </w:rPr>
        <w:fldChar w:fldCharType="end"/>
      </w:r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М, где:               </w:t>
      </w:r>
      <w:r w:rsidRPr="00ED2A8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М - количество целевых показателей, характеризующих цели и задачи муниципальной программы.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709" w:rsidRDefault="00D72709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2709" w:rsidRPr="00ED2A8B" w:rsidRDefault="00D72709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8. Оценка эффективности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реализации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8.1. Выбор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формулы расчета эффективности реализации муниципальной 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зависит от структуры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8.1.1. В случае если муниципальная программа сформирована только из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8.1.2. В случае если муниципальная программа сформирована только из подпрограмм,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6C2002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9" editas="canvas" style="width:255.45pt;height:55.5pt;mso-position-horizontal-relative:char;mso-position-vertical-relative:line" coordsize="5109,1110">
            <o:lock v:ext="edit" aspectratio="t"/>
            <v:shape id="_x0000_s1050" type="#_x0000_t75" style="position:absolute;width:5109;height:1110" o:preferrelative="f">
              <v:fill o:detectmouseclick="t"/>
              <v:path o:extrusionok="t" o:connecttype="none"/>
              <o:lock v:ext="edit" text="t"/>
            </v:shape>
            <v:rect id="_x0000_s1051" style="position:absolute;width:4575;height:1080" stroked="f"/>
            <v:rect id="_x0000_s1052" style="position:absolute;left:4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53" style="position:absolute;left:40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4" style="position:absolute;left:63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55" style="position:absolute;left:82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56" style="position:absolute;left:1335;top:375;width:367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СР</w:t>
                    </w:r>
                  </w:p>
                </w:txbxContent>
              </v:textbox>
            </v:rect>
            <v:rect id="_x0000_s1057" style="position:absolute;left:169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8" style="position:absolute;left:192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059" style="position:absolute;left:211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0" style="position:absolute;left:2820;top:6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61" style="position:absolute;left:2790;top:795;width:12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62" style="position:absolute;left:2640;top:180;width:344;height:711;mso-wrap-style:none" filled="f" stroked="f">
              <v:textbox style="mso-fit-shape-to-text:t" inset="0,0,0,0">
                <w:txbxContent>
                  <w:p w:rsidR="000B64A1" w:rsidRPr="004446DD" w:rsidRDefault="000B64A1" w:rsidP="000B64A1">
                    <w:r>
                      <w:rPr>
                        <w:b/>
                        <w:bCs/>
                        <w:color w:val="000000"/>
                        <w:sz w:val="58"/>
                        <w:szCs w:val="58"/>
                        <w:lang w:val="en-US"/>
                      </w:rPr>
                      <w:sym w:font="Symbol" w:char="F053"/>
                    </w:r>
                  </w:p>
                </w:txbxContent>
              </v:textbox>
            </v:rect>
            <v:rect id="_x0000_s1063" style="position:absolute;left:307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64" style="position:absolute;left:3435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5" style="position:absolute;left:3570;top:525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66" style="position:absolute;left:3660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7" style="position:absolute;left:3765;top:375;width:151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8" style="position:absolute;left:3900;top:375;width:147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rect>
            <v:rect id="_x0000_s1069" style="position:absolute;left:4050;top:51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70" style="position:absolute;left:4140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71" style="position:absolute;left:4305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anchorlock/>
          </v:group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федерального, краевого бюджетов (кассового исполнения) на реализацию j-ой подпрограммы в отчетном году;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Ф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федерального, краевого бюджетов (кассового исполнения) на реализацию муниципальной программы.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8.1.3. В случае если муниципальная программа сформирована из подпрограмм и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программы,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826DA1" w:rsidP="000B64A1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2002">
        <w:rPr>
          <w:rFonts w:ascii="Times New Roman" w:hAnsi="Times New Roman" w:cs="Times New Roman"/>
          <w:sz w:val="28"/>
          <w:szCs w:val="28"/>
        </w:rPr>
        <w:pict>
          <v:shape id="_x0000_i1030" type="#_x0000_t75" style="width:267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70C7F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570C7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­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Г—0,5+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1&lt;/m:t&gt;&lt;/m:r&gt;&lt;/m:sub&gt;&lt;m:sup&gt;&lt;m:r&gt;&lt;w:rPr&gt;&lt;w:rFonts w:ascii=&quot;Cambria Math&quot; w:h-ansi=&quot;Cambria Math&quot;/&gt;&lt;wx:font wx:val=&quot;Cambria Math&quot;/&gt;&lt;w:i/&gt;&lt;/w:rPr&gt;&lt;m:t&gt;j&lt;/m:t&gt;&lt;/m:r&gt;&lt;/m:sup&gt;&lt;m:e&gt;&lt;m:r&gt;&lt;w:rPr&gt;&lt;w:rFonts w:ascii=&quot;Cambria Math&quot; w:h-ansi=&quot;Cambria Math&quot;/&gt;&lt;wx:font wx:val=&quot;Cambria Math&quot;/&gt;&lt;w:i/&gt;&lt;/w:rPr&gt;&lt;m:t&gt;Р­&lt;/m:t&gt;&lt;/m:r&gt;&lt;/m:e&gt;&lt;/m:nary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ј/Рї&lt;/m:t&gt;&lt;/m:r&gt;&lt;/m:sub&gt;&lt;/m:sSub&gt;&lt;m:r&gt;&lt;w:rPr&gt;&lt;w:rFonts w:ascii=&quot;Cambria Math&quot; w:h-ansi=&quot;Cambria Math&quot;/&gt;&lt;wx:font wx:val=&quot;Cambria Math&quot;/&gt;&lt;w:i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4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Р­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ёСЃ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1, &lt;/m:t&gt;&lt;/m:r&gt;&lt;m:r&gt;&lt;w:rPr&gt;&lt;w:rFonts w:ascii=&quot;Cambria Math&quot; w:h-ansi=&quot;Cambria Math&quot;/&gt;&lt;wx:font wx:val=&quot;Cambria Math&quot;/&gt;&lt;w:i/&gt;&lt;/w:rPr&gt;&lt;m:t&gt;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0B64A1" w:rsidRPr="00ED2A8B" w:rsidRDefault="000B64A1" w:rsidP="000B64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(перечня основных мероприятий)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подпрограммы (перечня основных мероприятий) в отчетном году;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 - объем фактических расходов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муниципальной 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0B64A1" w:rsidRPr="005E6DE3" w:rsidRDefault="000B64A1" w:rsidP="000B64A1">
      <w:pPr>
        <w:ind w:firstLine="720"/>
        <w:jc w:val="both"/>
      </w:pPr>
    </w:p>
    <w:p w:rsidR="0019052C" w:rsidRDefault="0019052C" w:rsidP="000B64A1">
      <w:pPr>
        <w:jc w:val="both"/>
      </w:pPr>
    </w:p>
    <w:p w:rsidR="0019052C" w:rsidRPr="005E6DE3" w:rsidRDefault="0019052C" w:rsidP="000B64A1">
      <w:pPr>
        <w:jc w:val="both"/>
      </w:pPr>
    </w:p>
    <w:p w:rsidR="000B64A1" w:rsidRPr="00ED2A8B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Механизм реализации муниципальной программы и контроль</w:t>
      </w:r>
    </w:p>
    <w:p w:rsidR="000B64A1" w:rsidRPr="00ED2A8B" w:rsidRDefault="000B64A1" w:rsidP="000B6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представления;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Координатор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Координаторы подпрограмм и участники муниципальной программы в пределах своей компетенции: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представляют координатору муниципальной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заполненные отчетные формы мониторинга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Заказчик: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ED2A8B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4" w:history="1">
        <w:r w:rsidRPr="00ED2A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8AE" w:rsidRDefault="007328AE" w:rsidP="007328AE">
      <w:pPr>
        <w:pStyle w:val="ConsPlusNormal"/>
        <w:widowControl/>
        <w:ind w:right="-548" w:firstLine="0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Начальник отдела финансов</w:t>
      </w:r>
    </w:p>
    <w:p w:rsidR="007328AE" w:rsidRDefault="007328AE" w:rsidP="007328AE">
      <w:pPr>
        <w:pStyle w:val="ConsPlusNormal"/>
        <w:widowControl/>
        <w:ind w:right="-548" w:firstLine="0"/>
        <w:jc w:val="both"/>
      </w:pPr>
      <w:r>
        <w:rPr>
          <w:rFonts w:ascii="Times New Roman" w:hAnsi="Times New Roman"/>
          <w:sz w:val="28"/>
          <w:szCs w:val="28"/>
        </w:rPr>
        <w:t xml:space="preserve">и экономического развития                                                               Ю.Г. </w:t>
      </w:r>
      <w:proofErr w:type="spellStart"/>
      <w:r>
        <w:rPr>
          <w:rFonts w:ascii="Times New Roman" w:hAnsi="Times New Roman"/>
          <w:sz w:val="28"/>
          <w:szCs w:val="28"/>
        </w:rPr>
        <w:t>Дянина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DE4872">
      <w:pPr>
        <w:spacing w:line="240" w:lineRule="atLeast"/>
        <w:jc w:val="both"/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839" w:rsidRDefault="00E31839">
      <w:r>
        <w:separator/>
      </w:r>
    </w:p>
  </w:endnote>
  <w:endnote w:type="continuationSeparator" w:id="0">
    <w:p w:rsidR="00E31839" w:rsidRDefault="00E318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839" w:rsidRDefault="00E31839">
      <w:r>
        <w:separator/>
      </w:r>
    </w:p>
  </w:footnote>
  <w:footnote w:type="continuationSeparator" w:id="0">
    <w:p w:rsidR="00E31839" w:rsidRDefault="00E318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57" w:rsidRDefault="006C2002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21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26DA1">
      <w:rPr>
        <w:rStyle w:val="a8"/>
        <w:noProof/>
      </w:rPr>
      <w:t>13</w:t>
    </w:r>
    <w:r>
      <w:rPr>
        <w:rStyle w:val="a8"/>
      </w:rPr>
      <w:fldChar w:fldCharType="end"/>
    </w:r>
  </w:p>
  <w:p w:rsidR="00042157" w:rsidRDefault="0004215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A1" w:rsidRDefault="006C2002">
    <w:pPr>
      <w:pStyle w:val="a6"/>
      <w:jc w:val="center"/>
    </w:pPr>
    <w:fldSimple w:instr=" PAGE   \* MERGEFORMAT ">
      <w:r w:rsidR="00826DA1">
        <w:rPr>
          <w:noProof/>
        </w:rPr>
        <w:t>1</w:t>
      </w:r>
    </w:fldSimple>
  </w:p>
  <w:p w:rsidR="000B64A1" w:rsidRDefault="000B64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C7E91"/>
    <w:rsid w:val="0010014A"/>
    <w:rsid w:val="0011657B"/>
    <w:rsid w:val="001211B7"/>
    <w:rsid w:val="001262FF"/>
    <w:rsid w:val="00127563"/>
    <w:rsid w:val="001335A0"/>
    <w:rsid w:val="00153FED"/>
    <w:rsid w:val="001638EB"/>
    <w:rsid w:val="00175338"/>
    <w:rsid w:val="00177A57"/>
    <w:rsid w:val="0019052C"/>
    <w:rsid w:val="001A4969"/>
    <w:rsid w:val="001B10F3"/>
    <w:rsid w:val="001B7EA2"/>
    <w:rsid w:val="001D3049"/>
    <w:rsid w:val="00205A31"/>
    <w:rsid w:val="002246B7"/>
    <w:rsid w:val="00231598"/>
    <w:rsid w:val="00245918"/>
    <w:rsid w:val="0025434B"/>
    <w:rsid w:val="0025697B"/>
    <w:rsid w:val="0026387C"/>
    <w:rsid w:val="00267F7F"/>
    <w:rsid w:val="0028317D"/>
    <w:rsid w:val="002A1ED2"/>
    <w:rsid w:val="002C2F21"/>
    <w:rsid w:val="002C464D"/>
    <w:rsid w:val="002D576C"/>
    <w:rsid w:val="002D7163"/>
    <w:rsid w:val="002F15A1"/>
    <w:rsid w:val="002F3764"/>
    <w:rsid w:val="00306A41"/>
    <w:rsid w:val="003371C7"/>
    <w:rsid w:val="00353438"/>
    <w:rsid w:val="00356CBC"/>
    <w:rsid w:val="00371E4C"/>
    <w:rsid w:val="00372CE0"/>
    <w:rsid w:val="003B6D85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230"/>
    <w:rsid w:val="00447642"/>
    <w:rsid w:val="004524DD"/>
    <w:rsid w:val="00467A32"/>
    <w:rsid w:val="004746DB"/>
    <w:rsid w:val="00474F6C"/>
    <w:rsid w:val="00475C77"/>
    <w:rsid w:val="00482A93"/>
    <w:rsid w:val="004839A6"/>
    <w:rsid w:val="00483B04"/>
    <w:rsid w:val="00485649"/>
    <w:rsid w:val="004909E2"/>
    <w:rsid w:val="00496665"/>
    <w:rsid w:val="004A5E94"/>
    <w:rsid w:val="004B2921"/>
    <w:rsid w:val="004B483E"/>
    <w:rsid w:val="004B6730"/>
    <w:rsid w:val="004C364D"/>
    <w:rsid w:val="004F33BC"/>
    <w:rsid w:val="004F479C"/>
    <w:rsid w:val="00513A79"/>
    <w:rsid w:val="00514187"/>
    <w:rsid w:val="0051694D"/>
    <w:rsid w:val="00516A16"/>
    <w:rsid w:val="00517BF4"/>
    <w:rsid w:val="00525D57"/>
    <w:rsid w:val="00526F87"/>
    <w:rsid w:val="005315D2"/>
    <w:rsid w:val="00535879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26F24"/>
    <w:rsid w:val="00630A54"/>
    <w:rsid w:val="00644012"/>
    <w:rsid w:val="0065248B"/>
    <w:rsid w:val="006617FD"/>
    <w:rsid w:val="0066426F"/>
    <w:rsid w:val="0068041D"/>
    <w:rsid w:val="006C2002"/>
    <w:rsid w:val="006C215A"/>
    <w:rsid w:val="006E55CE"/>
    <w:rsid w:val="006F74A3"/>
    <w:rsid w:val="00707F87"/>
    <w:rsid w:val="007217B2"/>
    <w:rsid w:val="007255F3"/>
    <w:rsid w:val="007328AE"/>
    <w:rsid w:val="00743C91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26DA1"/>
    <w:rsid w:val="00832909"/>
    <w:rsid w:val="00853D0A"/>
    <w:rsid w:val="008547B3"/>
    <w:rsid w:val="00854B45"/>
    <w:rsid w:val="00884132"/>
    <w:rsid w:val="00887BF3"/>
    <w:rsid w:val="00895085"/>
    <w:rsid w:val="00896527"/>
    <w:rsid w:val="008A15AF"/>
    <w:rsid w:val="008B2485"/>
    <w:rsid w:val="008B75BD"/>
    <w:rsid w:val="008C436F"/>
    <w:rsid w:val="008D7420"/>
    <w:rsid w:val="008D765B"/>
    <w:rsid w:val="008F41AB"/>
    <w:rsid w:val="00914505"/>
    <w:rsid w:val="00932019"/>
    <w:rsid w:val="00937B5A"/>
    <w:rsid w:val="00940ED6"/>
    <w:rsid w:val="00966CCD"/>
    <w:rsid w:val="00983256"/>
    <w:rsid w:val="00987CD7"/>
    <w:rsid w:val="009A65F6"/>
    <w:rsid w:val="009C5AD4"/>
    <w:rsid w:val="009D216B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B4FAD"/>
    <w:rsid w:val="00AD6A84"/>
    <w:rsid w:val="00B10FDD"/>
    <w:rsid w:val="00B128BF"/>
    <w:rsid w:val="00B139DC"/>
    <w:rsid w:val="00B24346"/>
    <w:rsid w:val="00B27694"/>
    <w:rsid w:val="00B42EF3"/>
    <w:rsid w:val="00B50230"/>
    <w:rsid w:val="00B55799"/>
    <w:rsid w:val="00B741A9"/>
    <w:rsid w:val="00B8732B"/>
    <w:rsid w:val="00B90909"/>
    <w:rsid w:val="00BB51F8"/>
    <w:rsid w:val="00BC18CE"/>
    <w:rsid w:val="00BC5644"/>
    <w:rsid w:val="00BC65AB"/>
    <w:rsid w:val="00BC65D5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462A9"/>
    <w:rsid w:val="00C52256"/>
    <w:rsid w:val="00C60704"/>
    <w:rsid w:val="00C6332D"/>
    <w:rsid w:val="00C67227"/>
    <w:rsid w:val="00C86394"/>
    <w:rsid w:val="00C95FDE"/>
    <w:rsid w:val="00C97B7D"/>
    <w:rsid w:val="00CA5A94"/>
    <w:rsid w:val="00CB080D"/>
    <w:rsid w:val="00CB7F21"/>
    <w:rsid w:val="00CD0236"/>
    <w:rsid w:val="00CF0FDA"/>
    <w:rsid w:val="00D10024"/>
    <w:rsid w:val="00D14A19"/>
    <w:rsid w:val="00D30493"/>
    <w:rsid w:val="00D30B38"/>
    <w:rsid w:val="00D4308D"/>
    <w:rsid w:val="00D72709"/>
    <w:rsid w:val="00D93579"/>
    <w:rsid w:val="00DA0FEB"/>
    <w:rsid w:val="00DA42E5"/>
    <w:rsid w:val="00DC0FA4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1839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9063E"/>
    <w:rsid w:val="00F94B29"/>
    <w:rsid w:val="00FA2911"/>
    <w:rsid w:val="00FA7926"/>
    <w:rsid w:val="00FC0626"/>
    <w:rsid w:val="00FC40E4"/>
    <w:rsid w:val="00FC7E89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4007</Words>
  <Characters>22842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26796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14</cp:revision>
  <cp:lastPrinted>2025-11-06T15:49:00Z</cp:lastPrinted>
  <dcterms:created xsi:type="dcterms:W3CDTF">2014-11-10T12:47:00Z</dcterms:created>
  <dcterms:modified xsi:type="dcterms:W3CDTF">2025-11-06T15:50:00Z</dcterms:modified>
</cp:coreProperties>
</file>