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2977"/>
      </w:tblGrid>
      <w:tr w:rsidR="00F96124" w:rsidTr="00F96124">
        <w:tc>
          <w:tcPr>
            <w:tcW w:w="6487" w:type="dxa"/>
          </w:tcPr>
          <w:p w:rsidR="00F96124" w:rsidRPr="00F96124" w:rsidRDefault="00F96124" w:rsidP="00F96124">
            <w:pPr>
              <w:ind w:right="334"/>
              <w:rPr>
                <w:rStyle w:val="a4"/>
                <w:sz w:val="40"/>
                <w:szCs w:val="32"/>
              </w:rPr>
            </w:pPr>
            <w:r w:rsidRPr="00F96124">
              <w:rPr>
                <w:rStyle w:val="a4"/>
                <w:sz w:val="40"/>
                <w:szCs w:val="32"/>
              </w:rPr>
              <w:t>«</w:t>
            </w:r>
            <w:r w:rsidRPr="00F96124">
              <w:rPr>
                <w:rStyle w:val="a4"/>
                <w:sz w:val="40"/>
                <w:szCs w:val="32"/>
              </w:rPr>
              <w:t>СЕРАЯ</w:t>
            </w:r>
            <w:r w:rsidRPr="00F96124">
              <w:rPr>
                <w:rStyle w:val="a4"/>
                <w:sz w:val="40"/>
                <w:szCs w:val="32"/>
              </w:rPr>
              <w:t>»</w:t>
            </w:r>
            <w:r w:rsidRPr="00F96124">
              <w:rPr>
                <w:rStyle w:val="a4"/>
                <w:sz w:val="40"/>
                <w:szCs w:val="32"/>
              </w:rPr>
              <w:t xml:space="preserve"> ЗАРАБОТНАЯ ПЛАТА</w:t>
            </w:r>
            <w:r w:rsidRPr="00F96124">
              <w:rPr>
                <w:rStyle w:val="a4"/>
                <w:sz w:val="40"/>
                <w:szCs w:val="32"/>
              </w:rPr>
              <w:t xml:space="preserve"> </w:t>
            </w:r>
          </w:p>
          <w:p w:rsidR="00F96124" w:rsidRPr="00F96124" w:rsidRDefault="00F96124" w:rsidP="00F96124">
            <w:pPr>
              <w:ind w:right="1229"/>
              <w:rPr>
                <w:rStyle w:val="a4"/>
                <w:sz w:val="40"/>
                <w:szCs w:val="32"/>
              </w:rPr>
            </w:pPr>
            <w:r w:rsidRPr="00F96124">
              <w:rPr>
                <w:rStyle w:val="a4"/>
                <w:sz w:val="40"/>
                <w:szCs w:val="32"/>
              </w:rPr>
              <w:t>Что «</w:t>
            </w:r>
            <w:r w:rsidRPr="00F96124">
              <w:rPr>
                <w:rStyle w:val="a4"/>
                <w:sz w:val="40"/>
                <w:szCs w:val="32"/>
              </w:rPr>
              <w:t>говорит</w:t>
            </w:r>
            <w:r w:rsidRPr="00F96124">
              <w:rPr>
                <w:rStyle w:val="a4"/>
                <w:sz w:val="40"/>
                <w:szCs w:val="32"/>
              </w:rPr>
              <w:t>»</w:t>
            </w:r>
            <w:r w:rsidRPr="00F96124">
              <w:rPr>
                <w:rStyle w:val="a4"/>
                <w:sz w:val="40"/>
                <w:szCs w:val="32"/>
              </w:rPr>
              <w:t xml:space="preserve"> закон?</w:t>
            </w:r>
          </w:p>
          <w:p w:rsidR="00F96124" w:rsidRDefault="00F96124" w:rsidP="00F96124">
            <w:pPr>
              <w:ind w:right="3968"/>
              <w:rPr>
                <w:rStyle w:val="a4"/>
                <w:sz w:val="32"/>
                <w:szCs w:val="32"/>
              </w:rPr>
            </w:pPr>
          </w:p>
        </w:tc>
        <w:tc>
          <w:tcPr>
            <w:tcW w:w="2977" w:type="dxa"/>
          </w:tcPr>
          <w:p w:rsidR="00F96124" w:rsidRDefault="00F96124" w:rsidP="00F96124">
            <w:pPr>
              <w:ind w:right="3968"/>
              <w:rPr>
                <w:rStyle w:val="a4"/>
                <w:sz w:val="32"/>
                <w:szCs w:val="32"/>
              </w:rPr>
            </w:pPr>
            <w:r>
              <w:rPr>
                <w:noProof/>
                <w:lang w:eastAsia="ru-RU"/>
              </w:rPr>
              <w:drawing>
                <wp:inline distT="0" distB="0" distL="0" distR="0" wp14:anchorId="28B0539E" wp14:editId="0F849943">
                  <wp:extent cx="1524000" cy="1353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3247" cy="1353071"/>
                          </a:xfrm>
                          <a:prstGeom prst="rect">
                            <a:avLst/>
                          </a:prstGeom>
                          <a:noFill/>
                        </pic:spPr>
                      </pic:pic>
                    </a:graphicData>
                  </a:graphic>
                </wp:inline>
              </w:drawing>
            </w:r>
          </w:p>
        </w:tc>
      </w:tr>
    </w:tbl>
    <w:p w:rsidR="00B60F67" w:rsidRPr="00F96124" w:rsidRDefault="00B60F67" w:rsidP="00F96124">
      <w:pPr>
        <w:spacing w:after="0"/>
        <w:ind w:firstLine="708"/>
        <w:jc w:val="both"/>
        <w:rPr>
          <w:rFonts w:ascii="Times New Roman" w:hAnsi="Times New Roman" w:cs="Times New Roman"/>
          <w:sz w:val="24"/>
          <w:szCs w:val="24"/>
        </w:rPr>
      </w:pPr>
      <w:r w:rsidRPr="00F96124">
        <w:rPr>
          <w:rFonts w:ascii="Times New Roman" w:hAnsi="Times New Roman" w:cs="Times New Roman"/>
          <w:sz w:val="24"/>
          <w:szCs w:val="24"/>
        </w:rPr>
        <w:t>Серый рынок труда. Какие ассоциации возникают у большинства людей с этим понятием? Зарплата в конверте, пусть неофициальная, без подписи в ведомости, зато реальные деньги на руках.</w:t>
      </w:r>
    </w:p>
    <w:p w:rsidR="00B60F67" w:rsidRPr="00F96124" w:rsidRDefault="00B60F67" w:rsidP="00F96124">
      <w:pPr>
        <w:spacing w:after="0"/>
        <w:ind w:firstLine="708"/>
        <w:jc w:val="both"/>
        <w:rPr>
          <w:rFonts w:ascii="Times New Roman" w:hAnsi="Times New Roman" w:cs="Times New Roman"/>
          <w:sz w:val="24"/>
          <w:szCs w:val="24"/>
        </w:rPr>
      </w:pPr>
      <w:r w:rsidRPr="00F96124">
        <w:rPr>
          <w:rFonts w:ascii="Times New Roman" w:hAnsi="Times New Roman" w:cs="Times New Roman"/>
          <w:sz w:val="24"/>
          <w:szCs w:val="24"/>
        </w:rPr>
        <w:t>Крупные организации обычно рассчитываются с работниками официально, им не выгодно рисковать своей репутацией и конфликтовать с государственными структурами, а вот представители малого бизнеса нередко платят сотрудникам "серую" зарплату, то есть неучтенными наличными. Используют двойную бухгалтерию, когда работник расписывается в двух ведомостях, лишь одна из которых идет в бухгалтерскую и налоговую отчетность.</w:t>
      </w:r>
    </w:p>
    <w:p w:rsidR="00B60F67" w:rsidRPr="00F96124" w:rsidRDefault="00B60F67" w:rsidP="00F96124">
      <w:pPr>
        <w:spacing w:after="0"/>
        <w:ind w:firstLine="708"/>
        <w:jc w:val="both"/>
        <w:rPr>
          <w:rFonts w:ascii="Times New Roman" w:hAnsi="Times New Roman" w:cs="Times New Roman"/>
          <w:sz w:val="24"/>
          <w:szCs w:val="24"/>
        </w:rPr>
      </w:pPr>
      <w:proofErr w:type="gramStart"/>
      <w:r w:rsidRPr="00F96124">
        <w:rPr>
          <w:rFonts w:ascii="Times New Roman" w:hAnsi="Times New Roman" w:cs="Times New Roman"/>
          <w:sz w:val="24"/>
          <w:szCs w:val="24"/>
        </w:rPr>
        <w:t>Разочарование наступает, когда сотрудник получает выплаты, такие как оплата листков временной нетрудоспособности, выходные пособия, из расчета заработной платы, определенной трудовым договором (зачастую, ее сумма не превышает минимального размера, или размера прожиточного минимума трудоспособного).</w:t>
      </w:r>
      <w:proofErr w:type="gramEnd"/>
    </w:p>
    <w:p w:rsidR="00B60F67" w:rsidRPr="00F96124" w:rsidRDefault="00B60F67" w:rsidP="00F96124">
      <w:pPr>
        <w:spacing w:after="0"/>
        <w:ind w:firstLine="708"/>
        <w:jc w:val="both"/>
        <w:rPr>
          <w:rFonts w:ascii="Times New Roman" w:hAnsi="Times New Roman" w:cs="Times New Roman"/>
          <w:sz w:val="24"/>
          <w:szCs w:val="24"/>
        </w:rPr>
      </w:pPr>
      <w:r w:rsidRPr="00F96124">
        <w:rPr>
          <w:rFonts w:ascii="Times New Roman" w:hAnsi="Times New Roman" w:cs="Times New Roman"/>
          <w:sz w:val="24"/>
          <w:szCs w:val="24"/>
        </w:rPr>
        <w:t>Еще большее разочарование приходит к человеку, когда приходит время назначения пенсии по возрасту. В молодости, некоторые о ней просто не думают: мол, это еще очень далеко. И естественно мало кто помнит о том, что есть еще и пенсии по инвалидности или по случаю потери кормильца. А вдруг произойдет несчастный случай на производстве - работник станет инвалидом, а его отношения с работодателем не оформлены должным образом. А если самый худший вариант, и травма повлекла за собой смерть, тогда страдает семья, которая получит гораздо меньше пенсию по случаю потери кормильца.</w:t>
      </w:r>
    </w:p>
    <w:p w:rsidR="00B60F67" w:rsidRPr="00F96124" w:rsidRDefault="00B60F67" w:rsidP="00F96124">
      <w:pPr>
        <w:spacing w:after="0"/>
        <w:ind w:firstLine="708"/>
        <w:jc w:val="both"/>
        <w:rPr>
          <w:rFonts w:ascii="Times New Roman" w:hAnsi="Times New Roman" w:cs="Times New Roman"/>
          <w:sz w:val="24"/>
          <w:szCs w:val="24"/>
        </w:rPr>
      </w:pPr>
      <w:r w:rsidRPr="00F96124">
        <w:rPr>
          <w:rFonts w:ascii="Times New Roman" w:hAnsi="Times New Roman" w:cs="Times New Roman"/>
          <w:sz w:val="24"/>
          <w:szCs w:val="24"/>
        </w:rPr>
        <w:t>Факт, что трудовые права работника в этом случае нарушаются не вызывает сомнений. "Серая" заработная плата существенно ущемляет права работника.</w:t>
      </w:r>
    </w:p>
    <w:p w:rsidR="00B60F67" w:rsidRPr="00F96124" w:rsidRDefault="00B60F67" w:rsidP="00F96124">
      <w:pPr>
        <w:spacing w:after="0"/>
        <w:jc w:val="center"/>
        <w:rPr>
          <w:rFonts w:ascii="Times New Roman" w:hAnsi="Times New Roman" w:cs="Times New Roman"/>
          <w:sz w:val="24"/>
          <w:szCs w:val="24"/>
        </w:rPr>
      </w:pPr>
      <w:r w:rsidRPr="00F96124">
        <w:rPr>
          <w:rFonts w:ascii="Times New Roman" w:hAnsi="Times New Roman" w:cs="Times New Roman"/>
          <w:sz w:val="24"/>
          <w:szCs w:val="24"/>
        </w:rPr>
        <w:t>Потери работника при получении "серой" зарплаты</w:t>
      </w:r>
    </w:p>
    <w:p w:rsidR="00B60F67" w:rsidRPr="00F96124" w:rsidRDefault="00B60F67" w:rsidP="00F96124">
      <w:pPr>
        <w:spacing w:after="0"/>
        <w:jc w:val="both"/>
        <w:rPr>
          <w:rFonts w:ascii="Times New Roman" w:hAnsi="Times New Roman" w:cs="Times New Roman"/>
          <w:sz w:val="24"/>
          <w:szCs w:val="24"/>
        </w:rPr>
      </w:pPr>
      <w:r w:rsidRPr="00F96124">
        <w:rPr>
          <w:rFonts w:ascii="Times New Roman" w:hAnsi="Times New Roman" w:cs="Times New Roman"/>
          <w:sz w:val="24"/>
          <w:szCs w:val="24"/>
        </w:rPr>
        <w:t>Не гарантируется получение в полном объеме заработной платы в соответствии с количеством и качеством выполненной работы.</w:t>
      </w:r>
    </w:p>
    <w:p w:rsidR="00B60F67" w:rsidRPr="00F96124" w:rsidRDefault="00B60F67" w:rsidP="00F96124">
      <w:pPr>
        <w:spacing w:after="0"/>
        <w:jc w:val="both"/>
        <w:rPr>
          <w:rFonts w:ascii="Times New Roman" w:hAnsi="Times New Roman" w:cs="Times New Roman"/>
          <w:sz w:val="24"/>
          <w:szCs w:val="24"/>
        </w:rPr>
      </w:pPr>
      <w:r w:rsidRPr="00F96124">
        <w:rPr>
          <w:rFonts w:ascii="Times New Roman" w:hAnsi="Times New Roman" w:cs="Times New Roman"/>
          <w:sz w:val="24"/>
          <w:szCs w:val="24"/>
        </w:rPr>
        <w:t>Теряются права на возмещение в полном объеме вреда, причиненного работнику в связи с исполнением им трудовых обязанностей, и компенсацию морального вреда в порядке, установленном трудовым законодательством.</w:t>
      </w:r>
    </w:p>
    <w:p w:rsidR="00B60F67" w:rsidRPr="00F96124" w:rsidRDefault="00B60F67" w:rsidP="00F96124">
      <w:pPr>
        <w:spacing w:after="0"/>
        <w:jc w:val="both"/>
        <w:rPr>
          <w:rFonts w:ascii="Times New Roman" w:hAnsi="Times New Roman" w:cs="Times New Roman"/>
          <w:sz w:val="24"/>
          <w:szCs w:val="24"/>
        </w:rPr>
      </w:pPr>
      <w:r w:rsidRPr="00F96124">
        <w:rPr>
          <w:rFonts w:ascii="Times New Roman" w:hAnsi="Times New Roman" w:cs="Times New Roman"/>
          <w:sz w:val="24"/>
          <w:szCs w:val="24"/>
        </w:rPr>
        <w:t>В полном объеме не начисляются выплаты по обязательному социальному страхованию в случаях, предусмотренных федеральными законами.</w:t>
      </w:r>
    </w:p>
    <w:p w:rsidR="00B60F67" w:rsidRPr="00F96124" w:rsidRDefault="00B60F67" w:rsidP="00F96124">
      <w:pPr>
        <w:spacing w:after="0"/>
        <w:jc w:val="both"/>
        <w:rPr>
          <w:rFonts w:ascii="Times New Roman" w:hAnsi="Times New Roman" w:cs="Times New Roman"/>
          <w:sz w:val="24"/>
          <w:szCs w:val="24"/>
        </w:rPr>
      </w:pPr>
      <w:r w:rsidRPr="00F96124">
        <w:rPr>
          <w:rFonts w:ascii="Times New Roman" w:hAnsi="Times New Roman" w:cs="Times New Roman"/>
          <w:sz w:val="24"/>
          <w:szCs w:val="24"/>
        </w:rPr>
        <w:t>Уменьшается размер положенных гарантий и компенсаций, а также соответствующих выплат, которые производятся исходя из среднего месячного заработка, в том числе:</w:t>
      </w:r>
    </w:p>
    <w:p w:rsid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C68EEB9">
            <wp:extent cx="182880" cy="189230"/>
            <wp:effectExtent l="0" t="0" r="762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при направлении в служебные командировки (ст. 167 ТК РФ);</w:t>
      </w:r>
    </w:p>
    <w:p w:rsidR="00B60F67" w:rsidRPr="00F96124" w:rsidRDefault="006C2821" w:rsidP="006C2821">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C67CBF4">
            <wp:extent cx="182880" cy="189230"/>
            <wp:effectExtent l="0" t="0" r="762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переезде на работу в другую местность (ст. 169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A2B9465">
            <wp:extent cx="182880" cy="189230"/>
            <wp:effectExtent l="0" t="0" r="762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w:t>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исполнении г</w:t>
      </w:r>
      <w:r w:rsidR="00B60F67" w:rsidRPr="00F96124">
        <w:rPr>
          <w:rFonts w:ascii="Times New Roman" w:hAnsi="Times New Roman" w:cs="Times New Roman"/>
          <w:sz w:val="24"/>
          <w:szCs w:val="24"/>
        </w:rPr>
        <w:t xml:space="preserve">осударственных или общественных </w:t>
      </w:r>
      <w:r w:rsidR="00B60F67" w:rsidRPr="00F96124">
        <w:rPr>
          <w:rFonts w:ascii="Times New Roman" w:hAnsi="Times New Roman" w:cs="Times New Roman"/>
          <w:sz w:val="24"/>
          <w:szCs w:val="24"/>
        </w:rPr>
        <w:t>обязанностей (ст. 170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7CE438">
            <wp:extent cx="182880" cy="189230"/>
            <wp:effectExtent l="0" t="0" r="762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w:t>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совмещении работы с обучением (ст. 173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F1B5D06">
            <wp:extent cx="182880" cy="189230"/>
            <wp:effectExtent l="0" t="0" r="762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w:t>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вынужденном прекращении р</w:t>
      </w:r>
      <w:r w:rsidR="00B60F67" w:rsidRPr="00F96124">
        <w:rPr>
          <w:rFonts w:ascii="Times New Roman" w:hAnsi="Times New Roman" w:cs="Times New Roman"/>
          <w:sz w:val="24"/>
          <w:szCs w:val="24"/>
        </w:rPr>
        <w:t xml:space="preserve">аботы не по вине работника (ст. </w:t>
      </w:r>
      <w:r w:rsidR="00B60F67" w:rsidRPr="00F96124">
        <w:rPr>
          <w:rFonts w:ascii="Times New Roman" w:hAnsi="Times New Roman" w:cs="Times New Roman"/>
          <w:sz w:val="24"/>
          <w:szCs w:val="24"/>
        </w:rPr>
        <w:t>220, 414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EC0EA49">
            <wp:extent cx="182880" cy="189230"/>
            <wp:effectExtent l="0" t="0" r="762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предоставлении ежегодного</w:t>
      </w:r>
      <w:r w:rsidR="00B60F67" w:rsidRPr="00F96124">
        <w:rPr>
          <w:rFonts w:ascii="Times New Roman" w:hAnsi="Times New Roman" w:cs="Times New Roman"/>
          <w:sz w:val="24"/>
          <w:szCs w:val="24"/>
        </w:rPr>
        <w:t xml:space="preserve"> оплачиваемого отпуска (ст. 93, </w:t>
      </w:r>
      <w:r w:rsidR="00B60F67" w:rsidRPr="00F96124">
        <w:rPr>
          <w:rFonts w:ascii="Times New Roman" w:hAnsi="Times New Roman" w:cs="Times New Roman"/>
          <w:sz w:val="24"/>
          <w:szCs w:val="24"/>
        </w:rPr>
        <w:t>174, 176, 186, 260, 267, 286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9AEAC3">
            <wp:extent cx="182880" cy="189230"/>
            <wp:effectExtent l="0" t="0" r="762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в связи с задержкой по вине работодателя выдачи трудовой книжки, предоставления сведений о трудовой деятельности при увольнении работника (ст. 234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A9837BA">
            <wp:extent cx="182880" cy="189230"/>
            <wp:effectExtent l="0" t="0" r="762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в некоторых случаях прекращения трудового договора (ст. 178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6FD867">
            <wp:extent cx="182880" cy="189230"/>
            <wp:effectExtent l="0" t="0" r="762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расторжении трудового д</w:t>
      </w:r>
      <w:r w:rsidR="00B60F67" w:rsidRPr="00F96124">
        <w:rPr>
          <w:rFonts w:ascii="Times New Roman" w:hAnsi="Times New Roman" w:cs="Times New Roman"/>
          <w:sz w:val="24"/>
          <w:szCs w:val="24"/>
        </w:rPr>
        <w:t xml:space="preserve">оговора в связи с ликвидацией </w:t>
      </w:r>
      <w:r w:rsidR="00B60F67" w:rsidRPr="00F96124">
        <w:rPr>
          <w:rFonts w:ascii="Times New Roman" w:hAnsi="Times New Roman" w:cs="Times New Roman"/>
          <w:sz w:val="24"/>
          <w:szCs w:val="24"/>
        </w:rPr>
        <w:t>организации (п. 1 ч. 1 ст. 81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43CF5EB">
            <wp:extent cx="182880" cy="189230"/>
            <wp:effectExtent l="0" t="0" r="762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r w:rsidR="00B60F67" w:rsidRPr="00F96124">
        <w:rPr>
          <w:rFonts w:ascii="Times New Roman" w:hAnsi="Times New Roman" w:cs="Times New Roman"/>
          <w:sz w:val="24"/>
          <w:szCs w:val="24"/>
        </w:rPr>
        <w:tab/>
        <w:t>при</w:t>
      </w:r>
      <w:r w:rsidR="00B60F67" w:rsidRPr="00F96124">
        <w:rPr>
          <w:rFonts w:ascii="Times New Roman" w:hAnsi="Times New Roman" w:cs="Times New Roman"/>
          <w:sz w:val="24"/>
          <w:szCs w:val="24"/>
        </w:rPr>
        <w:t xml:space="preserve"> </w:t>
      </w:r>
      <w:r w:rsidR="00B60F67" w:rsidRPr="00F96124">
        <w:rPr>
          <w:rFonts w:ascii="Times New Roman" w:hAnsi="Times New Roman" w:cs="Times New Roman"/>
          <w:sz w:val="24"/>
          <w:szCs w:val="24"/>
        </w:rPr>
        <w:t>сокращении численности и</w:t>
      </w:r>
      <w:r w:rsidR="00B60F67" w:rsidRPr="00F96124">
        <w:rPr>
          <w:rFonts w:ascii="Times New Roman" w:hAnsi="Times New Roman" w:cs="Times New Roman"/>
          <w:sz w:val="24"/>
          <w:szCs w:val="24"/>
        </w:rPr>
        <w:t xml:space="preserve">ли штата работников организации </w:t>
      </w:r>
      <w:r w:rsidR="00B60F67" w:rsidRPr="00F96124">
        <w:rPr>
          <w:rFonts w:ascii="Times New Roman" w:hAnsi="Times New Roman" w:cs="Times New Roman"/>
          <w:sz w:val="24"/>
          <w:szCs w:val="24"/>
        </w:rPr>
        <w:t>(п. 2 ч.1 ст. 81 ТК РФ);</w:t>
      </w:r>
    </w:p>
    <w:p w:rsidR="00B60F67" w:rsidRPr="00F96124" w:rsidRDefault="006C2821" w:rsidP="00F96124">
      <w:pPr>
        <w:spacing w:after="0"/>
        <w:ind w:righ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D47264F">
            <wp:extent cx="182880" cy="189230"/>
            <wp:effectExtent l="0" t="0" r="762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9230"/>
                    </a:xfrm>
                    <a:prstGeom prst="rect">
                      <a:avLst/>
                    </a:prstGeom>
                    <a:noFill/>
                  </pic:spPr>
                </pic:pic>
              </a:graphicData>
            </a:graphic>
          </wp:inline>
        </w:drawing>
      </w:r>
      <w:bookmarkStart w:id="0" w:name="_GoBack"/>
      <w:bookmarkEnd w:id="0"/>
      <w:r w:rsidR="00B60F67" w:rsidRPr="00F96124">
        <w:rPr>
          <w:rFonts w:ascii="Times New Roman" w:hAnsi="Times New Roman" w:cs="Times New Roman"/>
          <w:sz w:val="24"/>
          <w:szCs w:val="24"/>
        </w:rPr>
        <w:tab/>
        <w:t>в других случаях, предусмотренных ТК РФ и иными федеральными законами.</w:t>
      </w:r>
    </w:p>
    <w:p w:rsidR="00B60F67" w:rsidRPr="00F96124" w:rsidRDefault="00B60F67" w:rsidP="00F96124">
      <w:pPr>
        <w:spacing w:after="0"/>
        <w:rPr>
          <w:rFonts w:ascii="Times New Roman" w:hAnsi="Times New Roman" w:cs="Times New Roman"/>
          <w:sz w:val="24"/>
          <w:szCs w:val="24"/>
        </w:rPr>
      </w:pPr>
    </w:p>
    <w:p w:rsidR="00B60F67" w:rsidRPr="00F96124" w:rsidRDefault="00B60F67" w:rsidP="00F96124">
      <w:pPr>
        <w:spacing w:after="0"/>
        <w:rPr>
          <w:rFonts w:ascii="Times New Roman" w:hAnsi="Times New Roman" w:cs="Times New Roman"/>
          <w:sz w:val="24"/>
          <w:szCs w:val="24"/>
        </w:rPr>
      </w:pPr>
      <w:r w:rsidRPr="00F96124">
        <w:rPr>
          <w:rFonts w:ascii="Times New Roman" w:hAnsi="Times New Roman" w:cs="Times New Roman"/>
          <w:sz w:val="24"/>
          <w:szCs w:val="24"/>
        </w:rPr>
        <w:t>За</w:t>
      </w:r>
      <w:r w:rsidRPr="00F96124">
        <w:rPr>
          <w:rFonts w:ascii="Times New Roman" w:hAnsi="Times New Roman" w:cs="Times New Roman"/>
          <w:sz w:val="24"/>
          <w:szCs w:val="24"/>
        </w:rPr>
        <w:t xml:space="preserve"> </w:t>
      </w:r>
      <w:r w:rsidRPr="00F96124">
        <w:rPr>
          <w:rFonts w:ascii="Times New Roman" w:hAnsi="Times New Roman" w:cs="Times New Roman"/>
          <w:sz w:val="24"/>
          <w:szCs w:val="24"/>
        </w:rPr>
        <w:t>каждое нарушение работода</w:t>
      </w:r>
      <w:r w:rsidRPr="00F96124">
        <w:rPr>
          <w:rFonts w:ascii="Times New Roman" w:hAnsi="Times New Roman" w:cs="Times New Roman"/>
          <w:sz w:val="24"/>
          <w:szCs w:val="24"/>
        </w:rPr>
        <w:t xml:space="preserve">тели могут быть привлечены к </w:t>
      </w:r>
      <w:r w:rsidRPr="00F96124">
        <w:rPr>
          <w:rFonts w:ascii="Times New Roman" w:hAnsi="Times New Roman" w:cs="Times New Roman"/>
          <w:sz w:val="24"/>
          <w:szCs w:val="24"/>
        </w:rPr>
        <w:t>административной ответственности, также возможны судебные разбирательства из-за нарушений прав работников.</w:t>
      </w:r>
    </w:p>
    <w:p w:rsidR="00B60F67" w:rsidRPr="00F96124" w:rsidRDefault="00B60F67" w:rsidP="00F96124">
      <w:pPr>
        <w:spacing w:after="0"/>
        <w:rPr>
          <w:rFonts w:ascii="Times New Roman" w:hAnsi="Times New Roman" w:cs="Times New Roman"/>
          <w:sz w:val="24"/>
          <w:szCs w:val="24"/>
        </w:rPr>
      </w:pPr>
      <w:r w:rsidRPr="00F96124">
        <w:rPr>
          <w:rFonts w:ascii="Times New Roman" w:hAnsi="Times New Roman" w:cs="Times New Roman"/>
          <w:sz w:val="24"/>
          <w:szCs w:val="24"/>
        </w:rPr>
        <w:t>Требуйте у работодателя при приеме на работу оформления трудового договора в письменной форме и включения в него всех выплат за свой труд.</w:t>
      </w:r>
    </w:p>
    <w:p w:rsidR="00A94194" w:rsidRPr="00F96124" w:rsidRDefault="00B60F67" w:rsidP="00F96124">
      <w:pPr>
        <w:spacing w:after="0"/>
        <w:rPr>
          <w:rFonts w:ascii="Times New Roman" w:hAnsi="Times New Roman" w:cs="Times New Roman"/>
          <w:sz w:val="24"/>
          <w:szCs w:val="24"/>
        </w:rPr>
      </w:pPr>
      <w:r w:rsidRPr="00F96124">
        <w:rPr>
          <w:rFonts w:ascii="Times New Roman" w:hAnsi="Times New Roman" w:cs="Times New Roman"/>
          <w:sz w:val="24"/>
          <w:szCs w:val="24"/>
        </w:rPr>
        <w:t>При отказе работодателя выполнить ваши законные требования обращайтесь в органы надзора и контроля (Государственную инспекцию труда, прокуратуру).</w:t>
      </w:r>
    </w:p>
    <w:p w:rsidR="00B60F67" w:rsidRDefault="00B60F67" w:rsidP="00B60F67"/>
    <w:p w:rsidR="00F96124" w:rsidRDefault="00B60F67" w:rsidP="00F96124">
      <w:pPr>
        <w:pStyle w:val="1"/>
        <w:spacing w:before="0"/>
        <w:jc w:val="center"/>
        <w:rPr>
          <w:rStyle w:val="a3"/>
        </w:rPr>
      </w:pPr>
      <w:r w:rsidRPr="00F96124">
        <w:rPr>
          <w:rStyle w:val="a3"/>
        </w:rPr>
        <w:t xml:space="preserve">Вы можете обратиться по телефонам «горячей линии» </w:t>
      </w:r>
      <w:proofErr w:type="gramStart"/>
      <w:r w:rsidRPr="00F96124">
        <w:rPr>
          <w:rStyle w:val="a3"/>
        </w:rPr>
        <w:t>в</w:t>
      </w:r>
      <w:proofErr w:type="gramEnd"/>
      <w:r w:rsidRPr="00F96124">
        <w:rPr>
          <w:rStyle w:val="a3"/>
        </w:rPr>
        <w:t xml:space="preserve"> </w:t>
      </w:r>
    </w:p>
    <w:p w:rsidR="00F96124" w:rsidRDefault="00B60F67" w:rsidP="00F96124">
      <w:pPr>
        <w:pStyle w:val="1"/>
        <w:spacing w:before="0"/>
        <w:jc w:val="center"/>
        <w:rPr>
          <w:rStyle w:val="a3"/>
        </w:rPr>
      </w:pPr>
      <w:r w:rsidRPr="00F96124">
        <w:rPr>
          <w:rStyle w:val="a3"/>
        </w:rPr>
        <w:t xml:space="preserve">ГКУ КК «Центр занятости населения Темрюкского района» </w:t>
      </w:r>
    </w:p>
    <w:p w:rsidR="00B60F67" w:rsidRPr="00F96124" w:rsidRDefault="00B60F67" w:rsidP="00F96124">
      <w:pPr>
        <w:pStyle w:val="1"/>
        <w:spacing w:before="0"/>
        <w:jc w:val="center"/>
        <w:rPr>
          <w:rStyle w:val="a3"/>
        </w:rPr>
      </w:pPr>
      <w:r w:rsidRPr="00F96124">
        <w:rPr>
          <w:rStyle w:val="a3"/>
        </w:rPr>
        <w:t xml:space="preserve">по телефону 8(86148) 5-47-17 и в администрацию муниципального образования Темрюкский район </w:t>
      </w:r>
      <w:r w:rsidR="00F96124" w:rsidRPr="00F96124">
        <w:rPr>
          <w:rStyle w:val="a3"/>
        </w:rPr>
        <w:t xml:space="preserve">по телефону </w:t>
      </w:r>
      <w:r w:rsidRPr="00F96124">
        <w:rPr>
          <w:rStyle w:val="a3"/>
        </w:rPr>
        <w:t>8(86148) 5-17-37.</w:t>
      </w:r>
    </w:p>
    <w:sectPr w:rsidR="00B60F67" w:rsidRPr="00F96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04"/>
    <w:rsid w:val="000E3504"/>
    <w:rsid w:val="006C2821"/>
    <w:rsid w:val="00A94194"/>
    <w:rsid w:val="00B60F67"/>
    <w:rsid w:val="00F9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6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124"/>
    <w:rPr>
      <w:rFonts w:asciiTheme="majorHAnsi" w:eastAsiaTheme="majorEastAsia" w:hAnsiTheme="majorHAnsi" w:cstheme="majorBidi"/>
      <w:b/>
      <w:bCs/>
      <w:color w:val="365F91" w:themeColor="accent1" w:themeShade="BF"/>
      <w:sz w:val="28"/>
      <w:szCs w:val="28"/>
    </w:rPr>
  </w:style>
  <w:style w:type="character" w:styleId="a3">
    <w:name w:val="Subtle Reference"/>
    <w:basedOn w:val="a0"/>
    <w:uiPriority w:val="31"/>
    <w:qFormat/>
    <w:rsid w:val="00F96124"/>
    <w:rPr>
      <w:smallCaps/>
      <w:color w:val="C0504D" w:themeColor="accent2"/>
      <w:u w:val="single"/>
    </w:rPr>
  </w:style>
  <w:style w:type="character" w:styleId="a4">
    <w:name w:val="Intense Reference"/>
    <w:basedOn w:val="a0"/>
    <w:uiPriority w:val="32"/>
    <w:qFormat/>
    <w:rsid w:val="00F96124"/>
    <w:rPr>
      <w:b/>
      <w:bCs/>
      <w:smallCaps/>
      <w:color w:val="C0504D" w:themeColor="accent2"/>
      <w:spacing w:val="5"/>
      <w:u w:val="single"/>
    </w:rPr>
  </w:style>
  <w:style w:type="paragraph" w:styleId="a5">
    <w:name w:val="Balloon Text"/>
    <w:basedOn w:val="a"/>
    <w:link w:val="a6"/>
    <w:uiPriority w:val="99"/>
    <w:semiHidden/>
    <w:unhideWhenUsed/>
    <w:rsid w:val="00F961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124"/>
    <w:rPr>
      <w:rFonts w:ascii="Tahoma" w:hAnsi="Tahoma" w:cs="Tahoma"/>
      <w:sz w:val="16"/>
      <w:szCs w:val="16"/>
    </w:rPr>
  </w:style>
  <w:style w:type="table" w:styleId="a7">
    <w:name w:val="Table Grid"/>
    <w:basedOn w:val="a1"/>
    <w:uiPriority w:val="59"/>
    <w:rsid w:val="00F96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6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124"/>
    <w:rPr>
      <w:rFonts w:asciiTheme="majorHAnsi" w:eastAsiaTheme="majorEastAsia" w:hAnsiTheme="majorHAnsi" w:cstheme="majorBidi"/>
      <w:b/>
      <w:bCs/>
      <w:color w:val="365F91" w:themeColor="accent1" w:themeShade="BF"/>
      <w:sz w:val="28"/>
      <w:szCs w:val="28"/>
    </w:rPr>
  </w:style>
  <w:style w:type="character" w:styleId="a3">
    <w:name w:val="Subtle Reference"/>
    <w:basedOn w:val="a0"/>
    <w:uiPriority w:val="31"/>
    <w:qFormat/>
    <w:rsid w:val="00F96124"/>
    <w:rPr>
      <w:smallCaps/>
      <w:color w:val="C0504D" w:themeColor="accent2"/>
      <w:u w:val="single"/>
    </w:rPr>
  </w:style>
  <w:style w:type="character" w:styleId="a4">
    <w:name w:val="Intense Reference"/>
    <w:basedOn w:val="a0"/>
    <w:uiPriority w:val="32"/>
    <w:qFormat/>
    <w:rsid w:val="00F96124"/>
    <w:rPr>
      <w:b/>
      <w:bCs/>
      <w:smallCaps/>
      <w:color w:val="C0504D" w:themeColor="accent2"/>
      <w:spacing w:val="5"/>
      <w:u w:val="single"/>
    </w:rPr>
  </w:style>
  <w:style w:type="paragraph" w:styleId="a5">
    <w:name w:val="Balloon Text"/>
    <w:basedOn w:val="a"/>
    <w:link w:val="a6"/>
    <w:uiPriority w:val="99"/>
    <w:semiHidden/>
    <w:unhideWhenUsed/>
    <w:rsid w:val="00F961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124"/>
    <w:rPr>
      <w:rFonts w:ascii="Tahoma" w:hAnsi="Tahoma" w:cs="Tahoma"/>
      <w:sz w:val="16"/>
      <w:szCs w:val="16"/>
    </w:rPr>
  </w:style>
  <w:style w:type="table" w:styleId="a7">
    <w:name w:val="Table Grid"/>
    <w:basedOn w:val="a1"/>
    <w:uiPriority w:val="59"/>
    <w:rsid w:val="00F96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Poletskaya Yulia Sergeevna</dc:creator>
  <cp:keywords/>
  <dc:description/>
  <cp:lastModifiedBy>Poletskaya Yulia Sergeevna</cp:lastModifiedBy>
  <cp:revision>2</cp:revision>
  <dcterms:created xsi:type="dcterms:W3CDTF">2022-06-16T12:16:00Z</dcterms:created>
  <dcterms:modified xsi:type="dcterms:W3CDTF">2022-06-16T12:53:00Z</dcterms:modified>
</cp:coreProperties>
</file>