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УТВЕРЖДЕНА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C35E0A">
        <w:rPr>
          <w:spacing w:val="-12"/>
          <w:sz w:val="28"/>
          <w:szCs w:val="28"/>
        </w:rPr>
        <w:t>31.10.2025</w:t>
      </w:r>
      <w:r w:rsidR="000B43FE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C01902">
        <w:rPr>
          <w:spacing w:val="-12"/>
          <w:sz w:val="28"/>
          <w:szCs w:val="28"/>
        </w:rPr>
        <w:t xml:space="preserve"> </w:t>
      </w:r>
      <w:r w:rsidR="00C35E0A">
        <w:rPr>
          <w:spacing w:val="-12"/>
          <w:sz w:val="28"/>
          <w:szCs w:val="28"/>
        </w:rPr>
        <w:t>218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Pr="00414F2E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>Муниципальная программа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 xml:space="preserve"> </w:t>
      </w:r>
      <w:r w:rsidRPr="007708BB">
        <w:rPr>
          <w:b/>
          <w:bCs/>
          <w:sz w:val="28"/>
          <w:szCs w:val="28"/>
        </w:rPr>
        <w:t>«</w:t>
      </w:r>
      <w:r w:rsidR="00993A61" w:rsidRPr="0018309D">
        <w:rPr>
          <w:b/>
          <w:sz w:val="28"/>
          <w:szCs w:val="28"/>
        </w:rPr>
        <w:t xml:space="preserve">Развитие </w:t>
      </w:r>
      <w:r w:rsidR="00993A61">
        <w:rPr>
          <w:b/>
          <w:sz w:val="28"/>
          <w:szCs w:val="28"/>
        </w:rPr>
        <w:t xml:space="preserve">физической культуры и массового спорта в </w:t>
      </w:r>
      <w:proofErr w:type="spellStart"/>
      <w:r w:rsidR="00993A61">
        <w:rPr>
          <w:b/>
          <w:sz w:val="28"/>
          <w:szCs w:val="28"/>
        </w:rPr>
        <w:t>Ахтанизовском</w:t>
      </w:r>
      <w:proofErr w:type="spellEnd"/>
      <w:r w:rsidR="00993A61" w:rsidRPr="0018309D">
        <w:rPr>
          <w:b/>
          <w:sz w:val="28"/>
          <w:szCs w:val="28"/>
        </w:rPr>
        <w:t xml:space="preserve"> сельском поселении Темрюкского района</w:t>
      </w:r>
      <w:r>
        <w:rPr>
          <w:b/>
          <w:bCs/>
          <w:sz w:val="28"/>
          <w:szCs w:val="28"/>
        </w:rPr>
        <w:t xml:space="preserve">» </w:t>
      </w:r>
    </w:p>
    <w:p w:rsidR="000B64A1" w:rsidRPr="00937B5A" w:rsidRDefault="000B64A1" w:rsidP="000B64A1">
      <w:pPr>
        <w:jc w:val="center"/>
        <w:rPr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937B5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1B7EA2">
        <w:rPr>
          <w:b/>
          <w:bCs/>
          <w:sz w:val="28"/>
          <w:szCs w:val="28"/>
        </w:rPr>
        <w:t xml:space="preserve"> </w:t>
      </w:r>
      <w:r w:rsidRPr="00937B5A">
        <w:rPr>
          <w:b/>
          <w:bCs/>
          <w:sz w:val="28"/>
          <w:szCs w:val="28"/>
        </w:rPr>
        <w:t xml:space="preserve">ПАСПОРТ </w:t>
      </w:r>
    </w:p>
    <w:p w:rsidR="000B64A1" w:rsidRPr="001B7EA2" w:rsidRDefault="00993A61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B64A1">
        <w:rPr>
          <w:b/>
          <w:bCs/>
          <w:sz w:val="28"/>
          <w:szCs w:val="28"/>
        </w:rPr>
        <w:t>униципальной программы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>«</w:t>
      </w:r>
      <w:r w:rsidR="00993A61" w:rsidRPr="0018309D">
        <w:rPr>
          <w:b/>
          <w:sz w:val="28"/>
          <w:szCs w:val="28"/>
        </w:rPr>
        <w:t xml:space="preserve">Развитие </w:t>
      </w:r>
      <w:r w:rsidR="00993A61">
        <w:rPr>
          <w:b/>
          <w:sz w:val="28"/>
          <w:szCs w:val="28"/>
        </w:rPr>
        <w:t xml:space="preserve">физической культуры и массового спорта в </w:t>
      </w:r>
      <w:proofErr w:type="spellStart"/>
      <w:r w:rsidR="00993A61">
        <w:rPr>
          <w:b/>
          <w:sz w:val="28"/>
          <w:szCs w:val="28"/>
        </w:rPr>
        <w:t>Ахтанизовском</w:t>
      </w:r>
      <w:proofErr w:type="spellEnd"/>
      <w:r w:rsidR="00993A61" w:rsidRPr="0018309D">
        <w:rPr>
          <w:b/>
          <w:sz w:val="28"/>
          <w:szCs w:val="28"/>
        </w:rPr>
        <w:t xml:space="preserve"> сельском поселении Темрюкского района</w:t>
      </w:r>
      <w:r>
        <w:rPr>
          <w:b/>
          <w:bCs/>
          <w:sz w:val="28"/>
          <w:szCs w:val="28"/>
        </w:rPr>
        <w:t xml:space="preserve">» 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993A61" w:rsidP="00993A61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 МБУК «</w:t>
            </w:r>
            <w:proofErr w:type="spellStart"/>
            <w:r>
              <w:rPr>
                <w:sz w:val="28"/>
                <w:szCs w:val="28"/>
              </w:rPr>
              <w:t>Ахтанизовский</w:t>
            </w:r>
            <w:proofErr w:type="spellEnd"/>
            <w:r>
              <w:rPr>
                <w:sz w:val="28"/>
                <w:szCs w:val="28"/>
              </w:rPr>
              <w:t xml:space="preserve"> КСЦ» (инструктор по спорту)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D2A8B">
              <w:rPr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sz w:val="28"/>
                <w:szCs w:val="28"/>
              </w:rPr>
              <w:t xml:space="preserve"> сельского поселения Темрюкского района</w:t>
            </w:r>
            <w:r w:rsidR="00993A61">
              <w:rPr>
                <w:sz w:val="28"/>
                <w:szCs w:val="28"/>
              </w:rPr>
              <w:t>, МБУК «</w:t>
            </w:r>
            <w:proofErr w:type="spellStart"/>
            <w:r w:rsidR="00993A61">
              <w:rPr>
                <w:sz w:val="28"/>
                <w:szCs w:val="28"/>
              </w:rPr>
              <w:t>Ахтанизовский</w:t>
            </w:r>
            <w:proofErr w:type="spellEnd"/>
            <w:r w:rsidR="00993A61">
              <w:rPr>
                <w:sz w:val="28"/>
                <w:szCs w:val="28"/>
              </w:rPr>
              <w:t xml:space="preserve"> КСЦ»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ind w:right="282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993A61" w:rsidP="00337F43">
            <w:pPr>
              <w:ind w:right="616"/>
              <w:rPr>
                <w:sz w:val="28"/>
                <w:szCs w:val="28"/>
              </w:rPr>
            </w:pPr>
            <w:r w:rsidRPr="00534189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 xml:space="preserve">физической культуры и </w:t>
            </w:r>
            <w:r w:rsidRPr="00534189">
              <w:rPr>
                <w:sz w:val="28"/>
                <w:szCs w:val="28"/>
              </w:rPr>
              <w:t xml:space="preserve">массового спорта в </w:t>
            </w:r>
            <w:proofErr w:type="spellStart"/>
            <w:r>
              <w:rPr>
                <w:sz w:val="28"/>
                <w:szCs w:val="28"/>
              </w:rPr>
              <w:t>Ахтанизовском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34189">
              <w:rPr>
                <w:sz w:val="28"/>
                <w:szCs w:val="28"/>
              </w:rPr>
              <w:t>сельском поселении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993A61" w:rsidP="00337F43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  <w:r w:rsidRPr="00534189">
              <w:rPr>
                <w:sz w:val="28"/>
                <w:szCs w:val="28"/>
              </w:rPr>
              <w:t>создание условий для занятия физической культурой и спортом, активное вовлечение в них широких слоев населения, особенно детей и молодёжи, проведение спортивно-массовых мероприятий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Увязка со стратегическими целями Стратегии </w:t>
            </w:r>
            <w:r w:rsidRPr="00ED2A8B">
              <w:rPr>
                <w:sz w:val="28"/>
                <w:szCs w:val="28"/>
              </w:rPr>
              <w:lastRenderedPageBreak/>
              <w:t>социально-экономического развития Темрюкского района Краснодарского края до 2030 года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Default="00993A6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2C4E16">
              <w:rPr>
                <w:sz w:val="28"/>
                <w:szCs w:val="28"/>
              </w:rPr>
              <w:t xml:space="preserve"> мероприятий</w:t>
            </w:r>
            <w:r>
              <w:rPr>
                <w:sz w:val="28"/>
                <w:szCs w:val="28"/>
              </w:rPr>
              <w:t>;</w:t>
            </w:r>
          </w:p>
          <w:p w:rsidR="00993A61" w:rsidRPr="00993A61" w:rsidRDefault="00993A6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93A61">
              <w:rPr>
                <w:sz w:val="28"/>
                <w:szCs w:val="28"/>
              </w:rPr>
              <w:t>оличество приобретенного инвентаря, оборудования, материалов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Проекты и (или)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C01902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C01902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4F7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ED2A8B">
              <w:rPr>
                <w:sz w:val="28"/>
                <w:szCs w:val="28"/>
              </w:rPr>
              <w:t>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64F7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ED2A8B">
              <w:rPr>
                <w:sz w:val="28"/>
                <w:szCs w:val="28"/>
              </w:rPr>
              <w:t>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14678" w:type="dxa"/>
            <w:gridSpan w:val="6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C01902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14678" w:type="dxa"/>
            <w:gridSpan w:val="6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C01902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993A61" w:rsidRDefault="00993A61" w:rsidP="000B64A1">
      <w:pPr>
        <w:tabs>
          <w:tab w:val="left" w:pos="9000"/>
        </w:tabs>
        <w:rPr>
          <w:sz w:val="28"/>
          <w:szCs w:val="28"/>
        </w:rPr>
      </w:pPr>
    </w:p>
    <w:p w:rsidR="000B64A1" w:rsidRPr="00ED2A8B" w:rsidRDefault="000B64A1" w:rsidP="000B64A1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2A8B">
        <w:rPr>
          <w:rFonts w:ascii="Times New Roman" w:hAnsi="Times New Roman"/>
          <w:b/>
          <w:sz w:val="28"/>
          <w:szCs w:val="28"/>
        </w:rPr>
        <w:t>1. Целевые показатели муниципальной программы</w:t>
      </w: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  <w:r w:rsidRPr="00ED2A8B">
        <w:rPr>
          <w:sz w:val="28"/>
          <w:szCs w:val="28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0B64A1" w:rsidRPr="00ED2A8B" w:rsidRDefault="000B64A1" w:rsidP="000B64A1">
      <w:pPr>
        <w:jc w:val="center"/>
        <w:rPr>
          <w:sz w:val="28"/>
          <w:szCs w:val="28"/>
        </w:rPr>
      </w:pP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ЦЕЛЕВЫЕ ПОКАЗАТЕЛИ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«</w:t>
      </w:r>
      <w:r w:rsidR="00993A61" w:rsidRPr="0018309D">
        <w:rPr>
          <w:b/>
          <w:sz w:val="28"/>
          <w:szCs w:val="28"/>
        </w:rPr>
        <w:t xml:space="preserve">Развитие </w:t>
      </w:r>
      <w:r w:rsidR="00993A61">
        <w:rPr>
          <w:b/>
          <w:sz w:val="28"/>
          <w:szCs w:val="28"/>
        </w:rPr>
        <w:t xml:space="preserve">физической культуры и массового спорта в </w:t>
      </w:r>
      <w:proofErr w:type="spellStart"/>
      <w:r w:rsidR="00993A61">
        <w:rPr>
          <w:b/>
          <w:sz w:val="28"/>
          <w:szCs w:val="28"/>
        </w:rPr>
        <w:t>Ахтанизовском</w:t>
      </w:r>
      <w:proofErr w:type="spellEnd"/>
      <w:r w:rsidR="00993A61" w:rsidRPr="0018309D">
        <w:rPr>
          <w:b/>
          <w:sz w:val="28"/>
          <w:szCs w:val="28"/>
        </w:rPr>
        <w:t xml:space="preserve"> сельском поселении Темрюкского района</w:t>
      </w:r>
      <w:r w:rsidRPr="005E6DE3">
        <w:rPr>
          <w:b/>
        </w:rPr>
        <w:t>»</w:t>
      </w:r>
    </w:p>
    <w:p w:rsidR="000B64A1" w:rsidRPr="005E6DE3" w:rsidRDefault="000B64A1" w:rsidP="000B64A1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485"/>
        <w:gridCol w:w="1701"/>
        <w:gridCol w:w="1134"/>
        <w:gridCol w:w="1417"/>
        <w:gridCol w:w="1277"/>
        <w:gridCol w:w="1579"/>
        <w:gridCol w:w="1680"/>
        <w:gridCol w:w="831"/>
        <w:gridCol w:w="1721"/>
      </w:tblGrid>
      <w:tr w:rsidR="000B64A1" w:rsidRPr="000964F7" w:rsidTr="00337F43">
        <w:tc>
          <w:tcPr>
            <w:tcW w:w="776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№ </w:t>
            </w:r>
            <w:proofErr w:type="spellStart"/>
            <w:proofErr w:type="gramStart"/>
            <w:r w:rsidRPr="000964F7">
              <w:t>п</w:t>
            </w:r>
            <w:proofErr w:type="spellEnd"/>
            <w:proofErr w:type="gramEnd"/>
            <w:r w:rsidRPr="000964F7">
              <w:t>/</w:t>
            </w:r>
            <w:proofErr w:type="spellStart"/>
            <w:r w:rsidRPr="000964F7">
              <w:t>п</w:t>
            </w:r>
            <w:proofErr w:type="spellEnd"/>
          </w:p>
        </w:tc>
        <w:tc>
          <w:tcPr>
            <w:tcW w:w="2485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Единица измерения</w:t>
            </w:r>
          </w:p>
        </w:tc>
        <w:tc>
          <w:tcPr>
            <w:tcW w:w="1134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Статус </w:t>
            </w:r>
          </w:p>
        </w:tc>
        <w:tc>
          <w:tcPr>
            <w:tcW w:w="8505" w:type="dxa"/>
            <w:gridSpan w:val="6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Значение целевого показателя</w:t>
            </w:r>
          </w:p>
        </w:tc>
      </w:tr>
      <w:tr w:rsidR="000B64A1" w:rsidRPr="000964F7" w:rsidTr="00993A61">
        <w:tc>
          <w:tcPr>
            <w:tcW w:w="776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5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отчетный год</w:t>
            </w:r>
          </w:p>
        </w:tc>
        <w:tc>
          <w:tcPr>
            <w:tcW w:w="127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2-й год реализации</w:t>
            </w:r>
          </w:p>
        </w:tc>
        <w:tc>
          <w:tcPr>
            <w:tcW w:w="1680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3-й год реализации</w:t>
            </w:r>
          </w:p>
        </w:tc>
        <w:tc>
          <w:tcPr>
            <w:tcW w:w="831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....</w:t>
            </w:r>
          </w:p>
        </w:tc>
        <w:tc>
          <w:tcPr>
            <w:tcW w:w="1721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№-</w:t>
            </w:r>
            <w:proofErr w:type="spellStart"/>
            <w:r w:rsidRPr="000964F7">
              <w:t>й</w:t>
            </w:r>
            <w:proofErr w:type="spellEnd"/>
            <w:r w:rsidRPr="000964F7">
              <w:t xml:space="preserve"> год реализации</w:t>
            </w:r>
          </w:p>
        </w:tc>
      </w:tr>
    </w:tbl>
    <w:p w:rsidR="000B64A1" w:rsidRPr="000964F7" w:rsidRDefault="000B64A1" w:rsidP="000B64A1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0"/>
        <w:gridCol w:w="2491"/>
        <w:gridCol w:w="1669"/>
        <w:gridCol w:w="1169"/>
        <w:gridCol w:w="1345"/>
        <w:gridCol w:w="1345"/>
        <w:gridCol w:w="1559"/>
        <w:gridCol w:w="1701"/>
        <w:gridCol w:w="851"/>
        <w:gridCol w:w="1701"/>
      </w:tblGrid>
      <w:tr w:rsidR="000B64A1" w:rsidRPr="00993A61" w:rsidTr="00993A61">
        <w:trPr>
          <w:tblHeader/>
        </w:trPr>
        <w:tc>
          <w:tcPr>
            <w:tcW w:w="770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1</w:t>
            </w:r>
          </w:p>
        </w:tc>
        <w:tc>
          <w:tcPr>
            <w:tcW w:w="2491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2</w:t>
            </w:r>
          </w:p>
        </w:tc>
        <w:tc>
          <w:tcPr>
            <w:tcW w:w="1669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3</w:t>
            </w:r>
          </w:p>
        </w:tc>
        <w:tc>
          <w:tcPr>
            <w:tcW w:w="1169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4</w:t>
            </w:r>
          </w:p>
        </w:tc>
        <w:tc>
          <w:tcPr>
            <w:tcW w:w="1345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5</w:t>
            </w:r>
          </w:p>
        </w:tc>
        <w:tc>
          <w:tcPr>
            <w:tcW w:w="1345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6</w:t>
            </w:r>
          </w:p>
        </w:tc>
        <w:tc>
          <w:tcPr>
            <w:tcW w:w="1559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7</w:t>
            </w:r>
          </w:p>
        </w:tc>
        <w:tc>
          <w:tcPr>
            <w:tcW w:w="1701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8</w:t>
            </w:r>
          </w:p>
        </w:tc>
        <w:tc>
          <w:tcPr>
            <w:tcW w:w="851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9</w:t>
            </w:r>
          </w:p>
        </w:tc>
        <w:tc>
          <w:tcPr>
            <w:tcW w:w="1701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10</w:t>
            </w:r>
          </w:p>
        </w:tc>
      </w:tr>
      <w:tr w:rsidR="000B64A1" w:rsidRPr="00993A61" w:rsidTr="00337F43">
        <w:tc>
          <w:tcPr>
            <w:tcW w:w="770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1</w:t>
            </w:r>
          </w:p>
        </w:tc>
        <w:tc>
          <w:tcPr>
            <w:tcW w:w="13831" w:type="dxa"/>
            <w:gridSpan w:val="9"/>
          </w:tcPr>
          <w:p w:rsidR="000B64A1" w:rsidRPr="00993A61" w:rsidRDefault="000B64A1" w:rsidP="00E160C6">
            <w:r w:rsidRPr="00993A61">
              <w:t>Муниципальная программа «</w:t>
            </w:r>
            <w:r w:rsidR="00993A61" w:rsidRPr="00993A61">
              <w:t xml:space="preserve">Развитие физической культуры и массового спорта в </w:t>
            </w:r>
            <w:proofErr w:type="spellStart"/>
            <w:r w:rsidR="00993A61" w:rsidRPr="00993A61">
              <w:t>Ахтанизовском</w:t>
            </w:r>
            <w:proofErr w:type="spellEnd"/>
            <w:r w:rsidR="00993A61" w:rsidRPr="00993A61">
              <w:t xml:space="preserve"> сельском поселении Темрюкского района</w:t>
            </w:r>
            <w:r w:rsidRPr="00993A61">
              <w:t>»</w:t>
            </w:r>
          </w:p>
        </w:tc>
      </w:tr>
      <w:tr w:rsidR="000B64A1" w:rsidRPr="00993A61" w:rsidTr="00993A61">
        <w:trPr>
          <w:trHeight w:val="890"/>
        </w:trPr>
        <w:tc>
          <w:tcPr>
            <w:tcW w:w="770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1.1</w:t>
            </w:r>
          </w:p>
        </w:tc>
        <w:tc>
          <w:tcPr>
            <w:tcW w:w="2491" w:type="dxa"/>
          </w:tcPr>
          <w:p w:rsidR="000B64A1" w:rsidRPr="00993A61" w:rsidRDefault="00993A61" w:rsidP="00E160C6">
            <w:pPr>
              <w:jc w:val="both"/>
            </w:pPr>
            <w:r w:rsidRPr="00993A61">
              <w:t>количество мероприятий</w:t>
            </w:r>
          </w:p>
        </w:tc>
        <w:tc>
          <w:tcPr>
            <w:tcW w:w="1669" w:type="dxa"/>
          </w:tcPr>
          <w:p w:rsidR="000B64A1" w:rsidRPr="00993A61" w:rsidRDefault="00993A61" w:rsidP="00337F43">
            <w:pPr>
              <w:pStyle w:val="ab"/>
              <w:rPr>
                <w:rFonts w:ascii="Times New Roman" w:hAnsi="Times New Roman" w:cs="Times New Roman"/>
              </w:rPr>
            </w:pPr>
            <w:r w:rsidRPr="00993A61">
              <w:rPr>
                <w:rFonts w:ascii="Times New Roman" w:hAnsi="Times New Roman"/>
              </w:rPr>
              <w:t>шт.</w:t>
            </w:r>
          </w:p>
        </w:tc>
        <w:tc>
          <w:tcPr>
            <w:tcW w:w="1169" w:type="dxa"/>
          </w:tcPr>
          <w:p w:rsidR="000B64A1" w:rsidRPr="00993A61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993A61">
              <w:t>3</w:t>
            </w:r>
          </w:p>
        </w:tc>
        <w:tc>
          <w:tcPr>
            <w:tcW w:w="1345" w:type="dxa"/>
          </w:tcPr>
          <w:p w:rsidR="000B64A1" w:rsidRPr="00993A61" w:rsidRDefault="000B64A1" w:rsidP="00337F43">
            <w:r w:rsidRPr="00993A61">
              <w:t>202</w:t>
            </w:r>
            <w:r w:rsidR="00C01902">
              <w:t>6</w:t>
            </w:r>
          </w:p>
        </w:tc>
        <w:tc>
          <w:tcPr>
            <w:tcW w:w="1345" w:type="dxa"/>
          </w:tcPr>
          <w:p w:rsidR="000B64A1" w:rsidRPr="00993A61" w:rsidRDefault="00993A61" w:rsidP="00337F43">
            <w:r w:rsidRPr="00993A61">
              <w:t>не менее 6</w:t>
            </w:r>
          </w:p>
        </w:tc>
        <w:tc>
          <w:tcPr>
            <w:tcW w:w="1559" w:type="dxa"/>
          </w:tcPr>
          <w:p w:rsidR="000B64A1" w:rsidRPr="00993A61" w:rsidRDefault="00993A61" w:rsidP="00337F43">
            <w:r w:rsidRPr="00993A61">
              <w:t>не менее 6</w:t>
            </w:r>
          </w:p>
        </w:tc>
        <w:tc>
          <w:tcPr>
            <w:tcW w:w="1701" w:type="dxa"/>
          </w:tcPr>
          <w:p w:rsidR="000B64A1" w:rsidRPr="00993A61" w:rsidRDefault="00993A61" w:rsidP="00337F43">
            <w:r w:rsidRPr="00993A61">
              <w:t>не менее 6</w:t>
            </w:r>
          </w:p>
        </w:tc>
        <w:tc>
          <w:tcPr>
            <w:tcW w:w="851" w:type="dxa"/>
          </w:tcPr>
          <w:p w:rsidR="000B64A1" w:rsidRPr="00993A61" w:rsidRDefault="00993A61" w:rsidP="00337F43">
            <w:r w:rsidRPr="00993A61">
              <w:t>не менее 6</w:t>
            </w:r>
          </w:p>
        </w:tc>
        <w:tc>
          <w:tcPr>
            <w:tcW w:w="1701" w:type="dxa"/>
          </w:tcPr>
          <w:p w:rsidR="000B64A1" w:rsidRPr="00993A61" w:rsidRDefault="00993A61" w:rsidP="00337F43">
            <w:pPr>
              <w:tabs>
                <w:tab w:val="center" w:pos="4677"/>
                <w:tab w:val="right" w:pos="9355"/>
              </w:tabs>
            </w:pPr>
            <w:r w:rsidRPr="00993A61">
              <w:t>не менее 6</w:t>
            </w:r>
          </w:p>
        </w:tc>
      </w:tr>
      <w:tr w:rsidR="00993A61" w:rsidRPr="00993A61" w:rsidTr="00993A61">
        <w:trPr>
          <w:trHeight w:val="890"/>
        </w:trPr>
        <w:tc>
          <w:tcPr>
            <w:tcW w:w="770" w:type="dxa"/>
          </w:tcPr>
          <w:p w:rsidR="00993A61" w:rsidRPr="00993A61" w:rsidRDefault="00993A61" w:rsidP="00337F43">
            <w:pPr>
              <w:tabs>
                <w:tab w:val="center" w:pos="4677"/>
                <w:tab w:val="right" w:pos="9355"/>
              </w:tabs>
              <w:jc w:val="center"/>
            </w:pPr>
            <w:r>
              <w:t>1.2</w:t>
            </w:r>
          </w:p>
        </w:tc>
        <w:tc>
          <w:tcPr>
            <w:tcW w:w="2491" w:type="dxa"/>
          </w:tcPr>
          <w:p w:rsidR="00993A61" w:rsidRPr="00993A61" w:rsidRDefault="00993A61" w:rsidP="00E160C6">
            <w:pPr>
              <w:jc w:val="both"/>
            </w:pPr>
            <w:r>
              <w:t>к</w:t>
            </w:r>
            <w:r w:rsidRPr="00ED1E4D">
              <w:t>оличество приобретенного инвентаря, оборудования, материалов</w:t>
            </w:r>
          </w:p>
        </w:tc>
        <w:tc>
          <w:tcPr>
            <w:tcW w:w="1669" w:type="dxa"/>
          </w:tcPr>
          <w:p w:rsidR="00993A61" w:rsidRPr="00993A61" w:rsidRDefault="00993A61" w:rsidP="00337F43">
            <w:pPr>
              <w:pStyle w:val="ab"/>
              <w:rPr>
                <w:rFonts w:ascii="Times New Roman" w:hAnsi="Times New Roman"/>
              </w:rPr>
            </w:pPr>
            <w:r w:rsidRPr="00993A61">
              <w:rPr>
                <w:rFonts w:ascii="Times New Roman" w:hAnsi="Times New Roman"/>
              </w:rPr>
              <w:t>шт.</w:t>
            </w:r>
          </w:p>
        </w:tc>
        <w:tc>
          <w:tcPr>
            <w:tcW w:w="1169" w:type="dxa"/>
          </w:tcPr>
          <w:p w:rsidR="00993A61" w:rsidRPr="00993A61" w:rsidRDefault="00993A61" w:rsidP="00337F43">
            <w:pPr>
              <w:tabs>
                <w:tab w:val="center" w:pos="4677"/>
                <w:tab w:val="right" w:pos="9355"/>
              </w:tabs>
              <w:jc w:val="center"/>
            </w:pPr>
            <w:r>
              <w:t>3</w:t>
            </w:r>
          </w:p>
        </w:tc>
        <w:tc>
          <w:tcPr>
            <w:tcW w:w="1345" w:type="dxa"/>
          </w:tcPr>
          <w:p w:rsidR="00993A61" w:rsidRPr="00993A61" w:rsidRDefault="00C01902" w:rsidP="00337F43">
            <w:r>
              <w:t>2026</w:t>
            </w:r>
          </w:p>
        </w:tc>
        <w:tc>
          <w:tcPr>
            <w:tcW w:w="1345" w:type="dxa"/>
          </w:tcPr>
          <w:p w:rsidR="00993A61" w:rsidRPr="00993A61" w:rsidRDefault="00993A61" w:rsidP="00337F43">
            <w:r w:rsidRPr="00993A61">
              <w:t>не менее</w:t>
            </w:r>
            <w:r>
              <w:t xml:space="preserve"> 5</w:t>
            </w:r>
          </w:p>
        </w:tc>
        <w:tc>
          <w:tcPr>
            <w:tcW w:w="1559" w:type="dxa"/>
          </w:tcPr>
          <w:p w:rsidR="00993A61" w:rsidRPr="00993A61" w:rsidRDefault="00993A61" w:rsidP="00337F43">
            <w:r w:rsidRPr="00993A61">
              <w:t>не менее</w:t>
            </w:r>
            <w:r>
              <w:t xml:space="preserve"> 5</w:t>
            </w:r>
          </w:p>
        </w:tc>
        <w:tc>
          <w:tcPr>
            <w:tcW w:w="1701" w:type="dxa"/>
          </w:tcPr>
          <w:p w:rsidR="00993A61" w:rsidRPr="00993A61" w:rsidRDefault="00993A61" w:rsidP="00337F43">
            <w:r w:rsidRPr="00993A61">
              <w:t>не менее</w:t>
            </w:r>
            <w:r>
              <w:t xml:space="preserve"> 5</w:t>
            </w:r>
          </w:p>
        </w:tc>
        <w:tc>
          <w:tcPr>
            <w:tcW w:w="851" w:type="dxa"/>
          </w:tcPr>
          <w:p w:rsidR="00993A61" w:rsidRPr="00993A61" w:rsidRDefault="00222396" w:rsidP="00337F43">
            <w:r w:rsidRPr="00993A61">
              <w:t>не менее</w:t>
            </w:r>
            <w:r>
              <w:t xml:space="preserve"> 5</w:t>
            </w:r>
          </w:p>
        </w:tc>
        <w:tc>
          <w:tcPr>
            <w:tcW w:w="1701" w:type="dxa"/>
          </w:tcPr>
          <w:p w:rsidR="00993A61" w:rsidRPr="00993A61" w:rsidRDefault="00222396" w:rsidP="00337F43">
            <w:pPr>
              <w:tabs>
                <w:tab w:val="center" w:pos="4677"/>
                <w:tab w:val="right" w:pos="9355"/>
              </w:tabs>
            </w:pPr>
            <w:r w:rsidRPr="00993A61">
              <w:t>не менее</w:t>
            </w:r>
            <w:r>
              <w:t xml:space="preserve"> 5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993A61" w:rsidRDefault="00993A61" w:rsidP="000B64A1">
      <w:pPr>
        <w:tabs>
          <w:tab w:val="left" w:pos="9000"/>
        </w:tabs>
        <w:rPr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</w:p>
    <w:p w:rsidR="000B64A1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B64A1" w:rsidRDefault="000B64A1" w:rsidP="000B64A1">
      <w:pPr>
        <w:jc w:val="center"/>
        <w:rPr>
          <w:b/>
        </w:rPr>
      </w:pPr>
      <w:r w:rsidRPr="00AC0214">
        <w:rPr>
          <w:b/>
        </w:rPr>
        <w:t>«</w:t>
      </w:r>
      <w:r w:rsidR="00993A61" w:rsidRPr="0018309D">
        <w:rPr>
          <w:b/>
          <w:sz w:val="28"/>
          <w:szCs w:val="28"/>
        </w:rPr>
        <w:t xml:space="preserve">Развитие </w:t>
      </w:r>
      <w:r w:rsidR="00993A61">
        <w:rPr>
          <w:b/>
          <w:sz w:val="28"/>
          <w:szCs w:val="28"/>
        </w:rPr>
        <w:t xml:space="preserve">физической культуры и массового спорта в </w:t>
      </w:r>
      <w:proofErr w:type="spellStart"/>
      <w:r w:rsidR="00993A61">
        <w:rPr>
          <w:b/>
          <w:sz w:val="28"/>
          <w:szCs w:val="28"/>
        </w:rPr>
        <w:t>Ахтанизовском</w:t>
      </w:r>
      <w:proofErr w:type="spellEnd"/>
      <w:r w:rsidR="00993A61" w:rsidRPr="0018309D">
        <w:rPr>
          <w:b/>
          <w:sz w:val="28"/>
          <w:szCs w:val="28"/>
        </w:rPr>
        <w:t xml:space="preserve"> сельском поселении Темрюкского района</w:t>
      </w:r>
      <w:r w:rsidRPr="00AC0214">
        <w:rPr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19052C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19052C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</w:tr>
      <w:tr w:rsidR="000B64A1" w:rsidRPr="0019052C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</w:tr>
      <w:tr w:rsidR="000B64A1" w:rsidRPr="0019052C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993A61" w:rsidRDefault="00993A61" w:rsidP="000B64A1">
            <w:r w:rsidRPr="00993A61">
              <w:t xml:space="preserve">развитие физической культуры и массового спорта в </w:t>
            </w:r>
            <w:proofErr w:type="spellStart"/>
            <w:r w:rsidRPr="00993A61">
              <w:t>Ахтанизовском</w:t>
            </w:r>
            <w:proofErr w:type="spellEnd"/>
            <w:r w:rsidRPr="00993A61">
              <w:t xml:space="preserve"> сельском поселении Темрюкского района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993A61" w:rsidRDefault="00993A61" w:rsidP="000B64A1">
            <w:r w:rsidRPr="00993A61">
              <w:t>создание условий для занятия физической культурой и спортом, активное вовлечение в них широких слоев населения, особенно детей и молодёжи, проведение спортивно-массовых мероприятий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993A61" w:rsidP="000B64A1">
            <w:pPr>
              <w:pStyle w:val="ac"/>
              <w:rPr>
                <w:rFonts w:ascii="Times New Roman" w:hAnsi="Times New Roman"/>
              </w:rPr>
            </w:pPr>
            <w:r w:rsidRPr="00A83F2A">
              <w:rPr>
                <w:rFonts w:ascii="Times New Roman" w:hAnsi="Times New Roman"/>
              </w:rPr>
              <w:t>Проведение спортивных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3B4060">
              <w:rPr>
                <w:rFonts w:ascii="Times New Roman" w:hAnsi="Times New Roman"/>
              </w:rPr>
              <w:t>(участие в спортивных соревнованиях)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C01902" w:rsidP="0082712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0B64A1" w:rsidRPr="001905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222396" w:rsidP="000B64A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B64A1" w:rsidRPr="0019052C">
              <w:rPr>
                <w:rFonts w:ascii="Times New Roman" w:hAnsi="Times New Roman" w:cs="Times New Roman"/>
              </w:rPr>
              <w:t>0</w:t>
            </w:r>
            <w:r w:rsidR="000B64A1" w:rsidRPr="0019052C">
              <w:rPr>
                <w:rFonts w:ascii="Times New Roman" w:hAnsi="Times New Roman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222396" w:rsidP="000B64A1">
            <w:r>
              <w:t>10</w:t>
            </w:r>
            <w:r w:rsidRPr="0019052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96" w:rsidRPr="00F25EA1" w:rsidRDefault="00222396" w:rsidP="00222396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мероприятий, шт. – не менее 6 </w:t>
            </w:r>
          </w:p>
          <w:p w:rsidR="000B64A1" w:rsidRPr="0019052C" w:rsidRDefault="000B64A1" w:rsidP="000B64A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  <w:tr w:rsidR="000B64A1" w:rsidRPr="0019052C" w:rsidTr="0019052C">
        <w:trPr>
          <w:trHeight w:val="12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993A61" w:rsidP="000B64A1">
            <w:pPr>
              <w:pStyle w:val="ac"/>
              <w:rPr>
                <w:rFonts w:ascii="Times New Roman" w:hAnsi="Times New Roman" w:cs="Times New Roman"/>
              </w:rPr>
            </w:pPr>
            <w:r w:rsidRPr="00A83F2A">
              <w:rPr>
                <w:rFonts w:ascii="Times New Roman" w:hAnsi="Times New Roman"/>
              </w:rPr>
              <w:t xml:space="preserve">Приобретение инвентаря, оборудования, материалов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82712C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202</w:t>
            </w:r>
            <w:r w:rsidR="00C01902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222396" w:rsidP="000B64A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9052C">
              <w:rPr>
                <w:rFonts w:ascii="Times New Roman" w:hAnsi="Times New Roman" w:cs="Times New Roman"/>
              </w:rPr>
              <w:t>0</w:t>
            </w:r>
            <w:r w:rsidRPr="0019052C">
              <w:rPr>
                <w:rFonts w:ascii="Times New Roman" w:hAnsi="Times New Roman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222396" w:rsidP="000B64A1">
            <w:r>
              <w:t>10</w:t>
            </w:r>
            <w:r w:rsidRPr="0019052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222396" w:rsidP="000B64A1">
            <w:r>
              <w:t xml:space="preserve">Приобретение </w:t>
            </w:r>
            <w:r w:rsidRPr="00FF3A40">
              <w:t>инвентаря, оборудования, материалов</w:t>
            </w:r>
            <w:r>
              <w:t>, шт.- не менее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r w:rsidRPr="0019052C">
              <w:t xml:space="preserve">Администрация </w:t>
            </w:r>
            <w:proofErr w:type="spellStart"/>
            <w:r w:rsidRPr="0019052C"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0B64A1" w:rsidRPr="005E6DE3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lastRenderedPageBreak/>
        <w:t>Методика оценки эффективности реализации муниципальной</w:t>
      </w:r>
    </w:p>
    <w:p w:rsidR="000B64A1" w:rsidRPr="005E6DE3" w:rsidRDefault="000B64A1" w:rsidP="000B64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pStyle w:val="ConsPlusNormal"/>
        <w:jc w:val="center"/>
        <w:rPr>
          <w:rFonts w:ascii="Times New Roman" w:hAnsi="Times New Roman" w:cs="Times New Roman"/>
        </w:rPr>
      </w:pP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  <w:lang w:eastAsia="ar-SA"/>
        </w:rPr>
      </w:pPr>
      <w:r w:rsidRPr="00ED2A8B">
        <w:rPr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</w:rPr>
        <w:t xml:space="preserve"> сельского поселения Темрюкского района от </w:t>
      </w:r>
      <w:r w:rsidRPr="00ED2A8B">
        <w:rPr>
          <w:color w:val="000000"/>
          <w:sz w:val="28"/>
          <w:szCs w:val="28"/>
          <w:shd w:val="clear" w:color="auto" w:fill="FFFFFF"/>
        </w:rPr>
        <w:t xml:space="preserve">30 августа 2024 года № 148 </w:t>
      </w:r>
      <w:r w:rsidRPr="00ED2A8B">
        <w:rPr>
          <w:sz w:val="28"/>
          <w:szCs w:val="28"/>
        </w:rPr>
        <w:t xml:space="preserve">«Об утверждении порядка </w:t>
      </w:r>
      <w:r w:rsidRPr="00ED2A8B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  <w:lang w:eastAsia="ar-SA"/>
        </w:rPr>
        <w:t xml:space="preserve"> сельского поселения Темрюкского района».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1.1. Оценка эффективности реализации муниципальной программы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(далее - муниципальная программа)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1.2. Оценка эффективности реализации муниципальной программы рассчитывается на основании: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реализации мероприятий подпрограмм и основных мероприятий, включенных в муниципальную программу (далее - степень реализации мероприятий);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эффективности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подпрограмм, включенных в муниципальную программу (далее - оценка степени реализации подпрограммы);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1.3. Мероприятия подпрограмм и основные мероприятия муниципальной программы, предусматривающие исключительно расходы на содержание координатора муниципальной программы (подпрограммы), и (или) участника муниципальной программы, из расчета оценки эффективности реализации муниципальной программы исключаются.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2. Оценка степени реализации мероприятий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2.1. Для оценки степени реализации мероприятий определяется степень выполнения показателя непосредственного результата мероприятия (далее - непосредственный результат).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2.2. Степень выполнения непосредственного результата рассчитывается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непосредственного результата,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непосредственного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если фактическое значение непосредственного результата превышает его плановое значение,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случае если основное мероприятие, мероприятие подпрограммы имеет несколько показателей непосредственного результата, расчет проводится по каждому из них.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Оценка степени выполнения непосредственного результата по мероприятию, предусматривающему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определяется на основании отчетов об исполнении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2.4. В случае отсутствия количественной характеристики непосредственного результата степень выполнения мероприятия оценивается по наступлению или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ненаступлению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контрольного события (событий) и (или) достижению качественного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2.5. Оценка степени выполнения непосредственного результата не определяется по мероприятиям, направленным на ликвидацию чрезвычайных ситуаций природного и техногенного характера, а также на предоставление страховых гарантий отдельным категориям граждан, в порядке, установленном нормативно - правовыми актами администрации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2.6. Степень реализации мероприятий рассчитывается для каждой подпрограммы и перечня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D900B0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00B0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6" type="#_x0000_t75" alt="base_23729_196884_32768" style="width:162pt;height:36.75pt;visibility:visible">
            <v:imagedata r:id="rId9" o:title="base_23729_196884_32768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N - количество непосредственных результатов, запланированных к выполнению в отчетном периоде.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3. Оценка степени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соответствия запланированному уровню расходов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3.1. Степень соответствия запланированному уровню расходов рассчитывается для каждой подпрограммы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((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) /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>аевого бюджета, в том числе источником финансирования которых являются межбюджетные трансферты из федерального бюджета,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в отчетном периоде. Используются данные об объемах бюджетных ассигнований в соответствии со сводной бюджетной росписью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по состоянию на 31 декабря отчетного года;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периоде. Используются данные об объемах бюджетных ассигнований, предусматриваемые в бюджете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внебюджетных источников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внебюджетных источников в отчетном периоде.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Используются данные по объемам расходов, предусмотренных за счет внебюджетных источников на реализацию подпрограммы (перечня основных мероприятий) в соответствии с действующей на момент проведения оценки эффективности реализации муниципальной программы редакцией муниципальной программы.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Если фактические расходы на реализацию подпрограммы (перечня основных мероприятий) из средств внебюджетных источников в отчетном периоде превышают плановые расходы, то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федерального, краевого и местных бюджетных источников (далее - бюджетные источники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= 0,6);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внебюджетных источников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0,4).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Если расходы на реализацию подпрограммы (перечня основных мероприятий) предусмотрены только за счет средств бюджетных источников,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1,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не применяется.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наличия по состоянию на 1 января текущего финансового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года неисполненных денежных обязательств получателей средств бюджета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возникших в отчетном финансовом году,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с учетом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финансирования в отчетном финансовом году денежных обязательств получателей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не исполненных по состоянию на 1 января отчетного финансового года,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без учета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91"/>
      <w:bookmarkEnd w:id="0"/>
      <w:r w:rsidRPr="00ED2A8B">
        <w:rPr>
          <w:rFonts w:ascii="Times New Roman" w:hAnsi="Times New Roman" w:cs="Times New Roman"/>
          <w:b w:val="0"/>
          <w:sz w:val="28"/>
          <w:szCs w:val="28"/>
        </w:rPr>
        <w:t>4. Оценка эффективности использования финансовых ресурсов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рассчитывается для каждой подпрограммы и перечня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0,7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0,3,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5. Оценка степени реализации 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5.1. Для оценки степени реализации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подпрограммы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5.3. Степень реализации подпрограммы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D900B0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00B0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 id="Рисунок 3" o:spid="_x0000_i1027" type="#_x0000_t75" alt="base_23729_196884_32769" style="width:170.25pt;height:40.5pt;visibility:visible">
            <v:imagedata r:id="rId10" o:title="base_23729_196884_32769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К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количество целевых показателей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6. Оценка эффективности реализации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6.2. Эффективность реализации подпрограммы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A71" w:rsidRPr="00ED2A8B" w:rsidRDefault="00AB4A7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7. Оценка степени достижения целей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и решения задач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7.1.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7.3. Степень достижения целей и решения задач муниципальной 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</w:t>
      </w:r>
      <w:r w:rsidR="00D900B0" w:rsidRPr="00ED2A8B">
        <w:rPr>
          <w:rFonts w:ascii="Times New Roman" w:hAnsi="Times New Roman" w:cs="Times New Roman"/>
          <w:sz w:val="28"/>
          <w:szCs w:val="28"/>
        </w:rPr>
        <w:fldChar w:fldCharType="begin"/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C35E0A" w:rsidRPr="00D900B0">
        <w:rPr>
          <w:rFonts w:ascii="Times New Roman" w:hAnsi="Times New Roman" w:cs="Times New Roman"/>
          <w:position w:val="-8"/>
          <w:sz w:val="28"/>
          <w:szCs w:val="28"/>
        </w:rPr>
        <w:pict>
          <v:shape id="_x0000_i1028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D900B0" w:rsidRPr="00ED2A8B">
        <w:rPr>
          <w:rFonts w:ascii="Times New Roman" w:hAnsi="Times New Roman" w:cs="Times New Roman"/>
          <w:sz w:val="28"/>
          <w:szCs w:val="28"/>
        </w:rPr>
        <w:fldChar w:fldCharType="separate"/>
      </w:r>
      <w:r w:rsidR="00C35E0A" w:rsidRPr="00D900B0">
        <w:rPr>
          <w:rFonts w:ascii="Times New Roman" w:hAnsi="Times New Roman" w:cs="Times New Roman"/>
          <w:position w:val="-8"/>
          <w:sz w:val="28"/>
          <w:szCs w:val="28"/>
        </w:rPr>
        <w:pict>
          <v:shape id="_x0000_i1029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D900B0" w:rsidRPr="00ED2A8B">
        <w:rPr>
          <w:rFonts w:ascii="Times New Roman" w:hAnsi="Times New Roman" w:cs="Times New Roman"/>
          <w:sz w:val="28"/>
          <w:szCs w:val="28"/>
        </w:rPr>
        <w:fldChar w:fldCharType="end"/>
      </w:r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М, где:               </w:t>
      </w:r>
      <w:r w:rsidRPr="00ED2A8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М - количество целевых показателей, характеризующих цели и задачи муниципальной программы.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A71" w:rsidRDefault="00AB4A7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A71" w:rsidRPr="00ED2A8B" w:rsidRDefault="00AB4A7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8. Оценка эффективности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реализации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8.1. Выбор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формулы расчета эффективности реализации муниципальной 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зависит от структуры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8.1.1. В случае если муниципальная программа сформирована только из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8.1.2. В случае если муниципальная программа сформирована только из подпрограмм,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D900B0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9" editas="canvas" style="width:255.45pt;height:55.5pt;mso-position-horizontal-relative:char;mso-position-vertical-relative:line" coordsize="5109,1110">
            <o:lock v:ext="edit" aspectratio="t"/>
            <v:shape id="_x0000_s1050" type="#_x0000_t75" style="position:absolute;width:5109;height:1110" o:preferrelative="f">
              <v:fill o:detectmouseclick="t"/>
              <v:path o:extrusionok="t" o:connecttype="none"/>
              <o:lock v:ext="edit" text="t"/>
            </v:shape>
            <v:rect id="_x0000_s1051" style="position:absolute;width:4575;height:1080" stroked="f"/>
            <v:rect id="_x0000_s1052" style="position:absolute;left:45;top:375;width:365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53" style="position:absolute;left:405;top:510;width:28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4" style="position:absolute;left:630;top:375;width:170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55" style="position:absolute;left:825;top:375;width:526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56" style="position:absolute;left:1335;top:375;width:367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СР</w:t>
                    </w:r>
                  </w:p>
                </w:txbxContent>
              </v:textbox>
            </v:rect>
            <v:rect id="_x0000_s1057" style="position:absolute;left:1695;top:510;width:28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8" style="position:absolute;left:1920;top:375;width:170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059" style="position:absolute;left:2115;top:375;width:526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0" style="position:absolute;left:2820;top:60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61" style="position:absolute;left:2790;top:795;width:12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62" style="position:absolute;left:2640;top:180;width:344;height:711;mso-wrap-style:none" filled="f" stroked="f">
              <v:textbox style="mso-fit-shape-to-text:t" inset="0,0,0,0">
                <w:txbxContent>
                  <w:p w:rsidR="000B64A1" w:rsidRPr="004446DD" w:rsidRDefault="000B64A1" w:rsidP="000B64A1">
                    <w:r>
                      <w:rPr>
                        <w:b/>
                        <w:bCs/>
                        <w:color w:val="000000"/>
                        <w:sz w:val="58"/>
                        <w:szCs w:val="58"/>
                        <w:lang w:val="en-US"/>
                      </w:rPr>
                      <w:sym w:font="Symbol" w:char="F053"/>
                    </w:r>
                  </w:p>
                </w:txbxContent>
              </v:textbox>
            </v:rect>
            <v:rect id="_x0000_s1063" style="position:absolute;left:3075;top:375;width:365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64" style="position:absolute;left:3435;top:525;width:129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5" style="position:absolute;left:3570;top:525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66" style="position:absolute;left:3660;top:525;width:129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7" style="position:absolute;left:3765;top:375;width:151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8" style="position:absolute;left:3900;top:375;width:147;height:345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rect>
            <v:rect id="_x0000_s1069" style="position:absolute;left:4050;top:510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70" style="position:absolute;left:4140;top:375;width:84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71" style="position:absolute;left:4305;top:375;width:84;height:345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w10:anchorlock/>
          </v:group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федерального, краевого бюджетов (кассового исполнения) на реализацию j-ой подпрограммы в отчетном году;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Ф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федерального, краевого бюджетов (кассового исполнения) на реализацию муниципальной программы.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8.1.3. В случае если муниципальная программа сформирована из подпрограмм и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программы, оценки эффективности реализации входящих в нее подпрограмм и оценки эффективности использования финансовых ресурсов на реализацию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C35E0A" w:rsidP="000B64A1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00B0">
        <w:rPr>
          <w:rFonts w:ascii="Times New Roman" w:hAnsi="Times New Roman" w:cs="Times New Roman"/>
          <w:sz w:val="28"/>
          <w:szCs w:val="28"/>
        </w:rPr>
        <w:pict>
          <v:shape id="_x0000_i1030" type="#_x0000_t75" style="width:267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70C7F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570C7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­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Г—0,5+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1&lt;/m:t&gt;&lt;/m:r&gt;&lt;/m:sub&gt;&lt;m:sup&gt;&lt;m:r&gt;&lt;w:rPr&gt;&lt;w:rFonts w:ascii=&quot;Cambria Math&quot; w:h-ansi=&quot;Cambria Math&quot;/&gt;&lt;wx:font wx:val=&quot;Cambria Math&quot;/&gt;&lt;w:i/&gt;&lt;/w:rPr&gt;&lt;m:t&gt;j&lt;/m:t&gt;&lt;/m:r&gt;&lt;/m:sup&gt;&lt;m:e&gt;&lt;m:r&gt;&lt;w:rPr&gt;&lt;w:rFonts w:ascii=&quot;Cambria Math&quot; w:h-ansi=&quot;Cambria Math&quot;/&gt;&lt;wx:font wx:val=&quot;Cambria Math&quot;/&gt;&lt;w:i/&gt;&lt;/w:rPr&gt;&lt;m:t&gt;Р­&lt;/m:t&gt;&lt;/m:r&gt;&lt;/m:e&gt;&lt;/m:nary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ј/Рї&lt;/m:t&gt;&lt;/m:r&gt;&lt;/m:sub&gt;&lt;/m:sSub&gt;&lt;m:r&gt;&lt;w:rPr&gt;&lt;w:rFonts w:ascii=&quot;Cambria Math&quot; w:h-ansi=&quot;Cambria Math&quot;/&gt;&lt;wx:font wx:val=&quot;Cambria Math&quot;/&gt;&lt;w:i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4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Р­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ёСЃ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1, &lt;/m:t&gt;&lt;/m:r&gt;&lt;m:r&gt;&lt;w:rPr&gt;&lt;w:rFonts w:ascii=&quot;Cambria Math&quot; w:h-ansi=&quot;Cambria Math&quot;/&gt;&lt;wx:font wx:val=&quot;Cambria Math&quot;/&gt;&lt;w:i/&gt;&lt;/w:rPr&gt;&lt;m:t&gt;РіРґРµ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0B64A1" w:rsidRPr="00ED2A8B" w:rsidRDefault="000B64A1" w:rsidP="000B64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(перечня основных мероприятий)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подпрограммы (перечня основных мероприятий) в отчетном году;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 - объем фактических расходов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8.2. Эффективность реализации муниципальной 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19052C" w:rsidRDefault="0019052C" w:rsidP="000B64A1">
      <w:pPr>
        <w:jc w:val="both"/>
      </w:pPr>
    </w:p>
    <w:p w:rsidR="0019052C" w:rsidRPr="005E6DE3" w:rsidRDefault="0019052C" w:rsidP="000B64A1">
      <w:pPr>
        <w:jc w:val="both"/>
      </w:pPr>
    </w:p>
    <w:p w:rsidR="000B64A1" w:rsidRPr="00ED2A8B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Механизм реализации муниципальной программы и контроль</w:t>
      </w:r>
    </w:p>
    <w:p w:rsidR="000B64A1" w:rsidRPr="00ED2A8B" w:rsidRDefault="000B64A1" w:rsidP="000B6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представления;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Координаторы подпрограмм и участники муниципальной программы в пределах своей компетенции: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представляют координатору муниципальной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заполненные отчетные формы мониторинга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Кроме того, участники муниципальной программы представляют координатору муниципальной программы значения целевых показателей в порядке и сроки, установленные координатором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Заказчик: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ED2A8B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анализ выполнения мероприятия;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4" w:history="1">
        <w:r w:rsidRPr="00ED2A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987" w:rsidRDefault="00D37987" w:rsidP="00D37987">
      <w:p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Заместитель главы </w:t>
      </w:r>
      <w:proofErr w:type="spellStart"/>
      <w:r>
        <w:rPr>
          <w:sz w:val="28"/>
          <w:szCs w:val="28"/>
        </w:rPr>
        <w:t>Ахтанизовского</w:t>
      </w:r>
      <w:proofErr w:type="spellEnd"/>
      <w:r>
        <w:rPr>
          <w:sz w:val="28"/>
          <w:szCs w:val="28"/>
        </w:rPr>
        <w:t xml:space="preserve">  </w:t>
      </w:r>
    </w:p>
    <w:p w:rsidR="00D37987" w:rsidRDefault="00D37987" w:rsidP="00D37987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0B64A1" w:rsidRDefault="00D37987" w:rsidP="00D37987">
      <w:pPr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   Ю.П. Агеева</w:t>
      </w: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F78" w:rsidRDefault="004A3F78">
      <w:r>
        <w:separator/>
      </w:r>
    </w:p>
  </w:endnote>
  <w:endnote w:type="continuationSeparator" w:id="0">
    <w:p w:rsidR="004A3F78" w:rsidRDefault="004A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F78" w:rsidRDefault="004A3F78">
      <w:r>
        <w:separator/>
      </w:r>
    </w:p>
  </w:footnote>
  <w:footnote w:type="continuationSeparator" w:id="0">
    <w:p w:rsidR="004A3F78" w:rsidRDefault="004A3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57" w:rsidRDefault="00D900B0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21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5E0A">
      <w:rPr>
        <w:rStyle w:val="a8"/>
        <w:noProof/>
      </w:rPr>
      <w:t>12</w:t>
    </w:r>
    <w:r>
      <w:rPr>
        <w:rStyle w:val="a8"/>
      </w:rPr>
      <w:fldChar w:fldCharType="end"/>
    </w:r>
  </w:p>
  <w:p w:rsidR="00042157" w:rsidRDefault="0004215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A1" w:rsidRDefault="00D900B0">
    <w:pPr>
      <w:pStyle w:val="a6"/>
      <w:jc w:val="center"/>
    </w:pPr>
    <w:fldSimple w:instr=" PAGE   \* MERGEFORMAT ">
      <w:r w:rsidR="00C35E0A">
        <w:rPr>
          <w:noProof/>
        </w:rPr>
        <w:t>1</w:t>
      </w:r>
    </w:fldSimple>
  </w:p>
  <w:p w:rsidR="000B64A1" w:rsidRDefault="000B64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2157"/>
    <w:rsid w:val="00045672"/>
    <w:rsid w:val="0004682D"/>
    <w:rsid w:val="0005468F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F174A"/>
    <w:rsid w:val="0010014A"/>
    <w:rsid w:val="0011657B"/>
    <w:rsid w:val="001211B7"/>
    <w:rsid w:val="001262FF"/>
    <w:rsid w:val="00127563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205A31"/>
    <w:rsid w:val="00222396"/>
    <w:rsid w:val="002246B7"/>
    <w:rsid w:val="00231598"/>
    <w:rsid w:val="00245918"/>
    <w:rsid w:val="0025434B"/>
    <w:rsid w:val="0026387C"/>
    <w:rsid w:val="00267F7F"/>
    <w:rsid w:val="0028317D"/>
    <w:rsid w:val="00296906"/>
    <w:rsid w:val="00297F29"/>
    <w:rsid w:val="002A1ED2"/>
    <w:rsid w:val="002B77DB"/>
    <w:rsid w:val="002C2F21"/>
    <w:rsid w:val="002C464D"/>
    <w:rsid w:val="002D576C"/>
    <w:rsid w:val="002D7163"/>
    <w:rsid w:val="002F15A1"/>
    <w:rsid w:val="002F3764"/>
    <w:rsid w:val="00306A41"/>
    <w:rsid w:val="003371C7"/>
    <w:rsid w:val="00353438"/>
    <w:rsid w:val="00371E4C"/>
    <w:rsid w:val="00372CE0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642"/>
    <w:rsid w:val="004524DD"/>
    <w:rsid w:val="00467A32"/>
    <w:rsid w:val="004746DB"/>
    <w:rsid w:val="00475C77"/>
    <w:rsid w:val="00482A93"/>
    <w:rsid w:val="004839A6"/>
    <w:rsid w:val="00483B04"/>
    <w:rsid w:val="00485649"/>
    <w:rsid w:val="004909E2"/>
    <w:rsid w:val="00496665"/>
    <w:rsid w:val="004A3F78"/>
    <w:rsid w:val="004A5E94"/>
    <w:rsid w:val="004B2921"/>
    <w:rsid w:val="004B483E"/>
    <w:rsid w:val="004B6730"/>
    <w:rsid w:val="004C364D"/>
    <w:rsid w:val="004F33BC"/>
    <w:rsid w:val="004F479C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55CE"/>
    <w:rsid w:val="006F74A3"/>
    <w:rsid w:val="00707F87"/>
    <w:rsid w:val="007217B2"/>
    <w:rsid w:val="007255F3"/>
    <w:rsid w:val="00743C91"/>
    <w:rsid w:val="007530DC"/>
    <w:rsid w:val="007631C3"/>
    <w:rsid w:val="00763877"/>
    <w:rsid w:val="007701BB"/>
    <w:rsid w:val="00770220"/>
    <w:rsid w:val="007708BB"/>
    <w:rsid w:val="0079075C"/>
    <w:rsid w:val="007A20BF"/>
    <w:rsid w:val="007C319D"/>
    <w:rsid w:val="007C3AE6"/>
    <w:rsid w:val="007D7478"/>
    <w:rsid w:val="007F0CC0"/>
    <w:rsid w:val="007F0DAF"/>
    <w:rsid w:val="007F2A24"/>
    <w:rsid w:val="0082205F"/>
    <w:rsid w:val="0082712C"/>
    <w:rsid w:val="00832909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36F"/>
    <w:rsid w:val="008D2175"/>
    <w:rsid w:val="008D7420"/>
    <w:rsid w:val="008D765B"/>
    <w:rsid w:val="008F41AB"/>
    <w:rsid w:val="00914505"/>
    <w:rsid w:val="00932019"/>
    <w:rsid w:val="00937B5A"/>
    <w:rsid w:val="00955F08"/>
    <w:rsid w:val="00987CD7"/>
    <w:rsid w:val="00993A61"/>
    <w:rsid w:val="009A65F6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B4A71"/>
    <w:rsid w:val="00AD6A84"/>
    <w:rsid w:val="00B10FDD"/>
    <w:rsid w:val="00B128BF"/>
    <w:rsid w:val="00B139DC"/>
    <w:rsid w:val="00B24346"/>
    <w:rsid w:val="00B2486A"/>
    <w:rsid w:val="00B27694"/>
    <w:rsid w:val="00B42EF3"/>
    <w:rsid w:val="00B50230"/>
    <w:rsid w:val="00B55799"/>
    <w:rsid w:val="00B741A9"/>
    <w:rsid w:val="00B8732B"/>
    <w:rsid w:val="00B90909"/>
    <w:rsid w:val="00BC0592"/>
    <w:rsid w:val="00BC18CE"/>
    <w:rsid w:val="00BC5644"/>
    <w:rsid w:val="00BC65AB"/>
    <w:rsid w:val="00BC795D"/>
    <w:rsid w:val="00BD0B05"/>
    <w:rsid w:val="00BD2886"/>
    <w:rsid w:val="00BD36DA"/>
    <w:rsid w:val="00BE7352"/>
    <w:rsid w:val="00BF2666"/>
    <w:rsid w:val="00C01902"/>
    <w:rsid w:val="00C07957"/>
    <w:rsid w:val="00C17E19"/>
    <w:rsid w:val="00C25977"/>
    <w:rsid w:val="00C3417C"/>
    <w:rsid w:val="00C341A7"/>
    <w:rsid w:val="00C35E0A"/>
    <w:rsid w:val="00C373F1"/>
    <w:rsid w:val="00C37EFE"/>
    <w:rsid w:val="00C52256"/>
    <w:rsid w:val="00C60704"/>
    <w:rsid w:val="00C67227"/>
    <w:rsid w:val="00C95FDE"/>
    <w:rsid w:val="00C97B7D"/>
    <w:rsid w:val="00CA5A94"/>
    <w:rsid w:val="00CB080D"/>
    <w:rsid w:val="00CD0236"/>
    <w:rsid w:val="00CF0FDA"/>
    <w:rsid w:val="00CF5F2B"/>
    <w:rsid w:val="00D10024"/>
    <w:rsid w:val="00D14A19"/>
    <w:rsid w:val="00D30493"/>
    <w:rsid w:val="00D30B38"/>
    <w:rsid w:val="00D37987"/>
    <w:rsid w:val="00D4308D"/>
    <w:rsid w:val="00D900B0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uiPriority w:val="99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25820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78</cp:revision>
  <cp:lastPrinted>2025-11-06T15:22:00Z</cp:lastPrinted>
  <dcterms:created xsi:type="dcterms:W3CDTF">2014-11-10T12:47:00Z</dcterms:created>
  <dcterms:modified xsi:type="dcterms:W3CDTF">2025-11-06T15:22:00Z</dcterms:modified>
</cp:coreProperties>
</file>